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54" w:rsidRPr="00882976" w:rsidRDefault="007D6BEE" w:rsidP="003D58F1">
      <w:pPr>
        <w:autoSpaceDE/>
        <w:autoSpaceDN/>
        <w:adjustRightInd/>
        <w:spacing w:after="0"/>
        <w:jc w:val="left"/>
        <w:rPr>
          <w:rFonts w:cs="Arial"/>
        </w:rPr>
        <w:sectPr w:rsidR="00641054" w:rsidRPr="00882976" w:rsidSect="00B81DFC">
          <w:headerReference w:type="even" r:id="rId8"/>
          <w:headerReference w:type="default" r:id="rId9"/>
          <w:footerReference w:type="even" r:id="rId10"/>
          <w:footerReference w:type="default" r:id="rId11"/>
          <w:headerReference w:type="first" r:id="rId12"/>
          <w:footerReference w:type="first" r:id="rId13"/>
          <w:pgSz w:w="11900" w:h="16840" w:code="9"/>
          <w:pgMar w:top="1361" w:right="1361" w:bottom="1361" w:left="1361" w:header="709" w:footer="709" w:gutter="0"/>
          <w:cols w:space="292"/>
          <w:titlePg/>
          <w:docGrid w:linePitch="326"/>
        </w:sectPr>
      </w:pPr>
      <w:r w:rsidRPr="00882976">
        <w:rPr>
          <w:rFonts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-340360</wp:posOffset>
                </wp:positionH>
                <wp:positionV relativeFrom="paragraph">
                  <wp:posOffset>5869940</wp:posOffset>
                </wp:positionV>
                <wp:extent cx="6640195" cy="22193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56" w:rsidRDefault="007D6BEE" w:rsidP="0037393E">
                            <w:pPr>
                              <w:spacing w:after="0"/>
                              <w:ind w:right="-46"/>
                              <w:jc w:val="left"/>
                              <w:rPr>
                                <w:rFonts w:cs="Arial"/>
                                <w:b/>
                                <w:bCs/>
                                <w:sz w:val="52"/>
                                <w:szCs w:val="52"/>
                              </w:rPr>
                            </w:pPr>
                          </w:p>
                          <w:p w:rsidR="00684756" w:rsidRDefault="007D6BEE" w:rsidP="0037393E">
                            <w:pPr>
                              <w:spacing w:after="0"/>
                              <w:ind w:right="-46"/>
                              <w:jc w:val="left"/>
                              <w:rPr>
                                <w:rFonts w:cs="Arial"/>
                                <w:b/>
                                <w:bCs/>
                                <w:sz w:val="52"/>
                                <w:szCs w:val="52"/>
                              </w:rPr>
                            </w:pPr>
                            <w:r>
                              <w:rPr>
                                <w:rFonts w:cs="Arial"/>
                                <w:b/>
                                <w:bCs/>
                                <w:sz w:val="52"/>
                                <w:szCs w:val="52"/>
                              </w:rPr>
                              <w:t>Money Matters</w:t>
                            </w:r>
                          </w:p>
                          <w:p w:rsidR="00853732" w:rsidRPr="00853732" w:rsidRDefault="007D6BEE" w:rsidP="00853732">
                            <w:pPr>
                              <w:spacing w:after="0"/>
                              <w:ind w:right="-46"/>
                              <w:jc w:val="left"/>
                              <w:rPr>
                                <w:rFonts w:cs="Arial"/>
                                <w:b/>
                                <w:bCs/>
                                <w:sz w:val="52"/>
                                <w:szCs w:val="52"/>
                              </w:rPr>
                            </w:pPr>
                            <w:r w:rsidRPr="00853732">
                              <w:rPr>
                                <w:rFonts w:cs="Arial"/>
                                <w:b/>
                                <w:bCs/>
                                <w:sz w:val="52"/>
                                <w:szCs w:val="52"/>
                              </w:rPr>
                              <w:t xml:space="preserve">The County Council's Financial Position </w:t>
                            </w:r>
                          </w:p>
                          <w:p w:rsidR="00853732" w:rsidRPr="00853732" w:rsidRDefault="007D6BEE" w:rsidP="00853732">
                            <w:pPr>
                              <w:spacing w:after="0"/>
                              <w:ind w:right="-46"/>
                              <w:jc w:val="left"/>
                              <w:rPr>
                                <w:rFonts w:cs="Arial"/>
                                <w:b/>
                                <w:bCs/>
                                <w:sz w:val="52"/>
                                <w:szCs w:val="52"/>
                              </w:rPr>
                            </w:pPr>
                            <w:r w:rsidRPr="00853732">
                              <w:rPr>
                                <w:rFonts w:cs="Arial"/>
                                <w:b/>
                                <w:bCs/>
                                <w:sz w:val="52"/>
                                <w:szCs w:val="52"/>
                              </w:rPr>
                              <w:t xml:space="preserve">2017/18 Quarter 1 Capital Monitoring </w:t>
                            </w:r>
                          </w:p>
                          <w:p w:rsidR="00853732" w:rsidRDefault="007D6BEE" w:rsidP="0037393E">
                            <w:pPr>
                              <w:spacing w:after="0"/>
                              <w:ind w:right="-46"/>
                              <w:jc w:val="left"/>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22.85pt;height:174.75pt;margin-top:462.2pt;margin-left:-26.8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684756" w:rsidP="0037393E">
                      <w:pPr>
                        <w:spacing w:after="0"/>
                        <w:ind w:right="-46"/>
                        <w:jc w:val="left"/>
                        <w:rPr>
                          <w:rFonts w:cs="Arial"/>
                          <w:b/>
                          <w:bCs/>
                          <w:sz w:val="52"/>
                          <w:szCs w:val="52"/>
                        </w:rPr>
                      </w:pPr>
                    </w:p>
                    <w:p w:rsidR="00684756" w:rsidP="0037393E">
                      <w:pPr>
                        <w:spacing w:after="0"/>
                        <w:ind w:right="-46"/>
                        <w:jc w:val="left"/>
                        <w:rPr>
                          <w:rFonts w:cs="Arial"/>
                          <w:b/>
                          <w:bCs/>
                          <w:sz w:val="52"/>
                          <w:szCs w:val="52"/>
                        </w:rPr>
                      </w:pPr>
                      <w:r>
                        <w:rPr>
                          <w:rFonts w:cs="Arial"/>
                          <w:b/>
                          <w:bCs/>
                          <w:sz w:val="52"/>
                          <w:szCs w:val="52"/>
                        </w:rPr>
                        <w:t>Money Matters</w:t>
                      </w:r>
                    </w:p>
                    <w:p w:rsidR="00853732" w:rsidRPr="00853732" w:rsidP="00853732">
                      <w:pPr>
                        <w:spacing w:after="0"/>
                        <w:ind w:right="-46"/>
                        <w:jc w:val="left"/>
                        <w:rPr>
                          <w:rFonts w:cs="Arial"/>
                          <w:b/>
                          <w:bCs/>
                          <w:sz w:val="52"/>
                          <w:szCs w:val="52"/>
                        </w:rPr>
                      </w:pPr>
                      <w:r w:rsidRPr="00853732">
                        <w:rPr>
                          <w:rFonts w:cs="Arial"/>
                          <w:b/>
                          <w:bCs/>
                          <w:sz w:val="52"/>
                          <w:szCs w:val="52"/>
                        </w:rPr>
                        <w:t xml:space="preserve">The County Council's Financial Position </w:t>
                      </w:r>
                    </w:p>
                    <w:p w:rsidR="00853732" w:rsidRPr="00853732" w:rsidP="00853732">
                      <w:pPr>
                        <w:spacing w:after="0"/>
                        <w:ind w:right="-46"/>
                        <w:jc w:val="left"/>
                        <w:rPr>
                          <w:rFonts w:cs="Arial"/>
                          <w:b/>
                          <w:bCs/>
                          <w:sz w:val="52"/>
                          <w:szCs w:val="52"/>
                        </w:rPr>
                      </w:pPr>
                      <w:r w:rsidRPr="00853732">
                        <w:rPr>
                          <w:rFonts w:cs="Arial"/>
                          <w:b/>
                          <w:bCs/>
                          <w:sz w:val="52"/>
                          <w:szCs w:val="52"/>
                        </w:rPr>
                        <w:t xml:space="preserve">2017/18 Quarter 1 Capital Monitoring </w:t>
                      </w:r>
                    </w:p>
                    <w:p w:rsidR="00853732" w:rsidP="0037393E">
                      <w:pPr>
                        <w:spacing w:after="0"/>
                        <w:ind w:right="-46"/>
                        <w:jc w:val="left"/>
                        <w:rPr>
                          <w:rFonts w:cs="Arial"/>
                          <w:b/>
                          <w:bCs/>
                          <w:sz w:val="52"/>
                          <w:szCs w:val="52"/>
                        </w:rPr>
                      </w:pPr>
                    </w:p>
                  </w:txbxContent>
                </v:textbox>
              </v:shape>
            </w:pict>
          </mc:Fallback>
        </mc:AlternateContent>
      </w:r>
    </w:p>
    <w:tbl>
      <w:tblPr>
        <w:tblStyle w:val="TableGrid"/>
        <w:tblW w:w="0" w:type="auto"/>
        <w:tblLook w:val="04A0" w:firstRow="1" w:lastRow="0" w:firstColumn="1" w:lastColumn="0" w:noHBand="0" w:noVBand="1"/>
      </w:tblPr>
      <w:tblGrid>
        <w:gridCol w:w="562"/>
        <w:gridCol w:w="5437"/>
        <w:gridCol w:w="3017"/>
      </w:tblGrid>
      <w:tr w:rsidR="008F3A16" w:rsidTr="008150B9">
        <w:trPr>
          <w:trHeight w:val="699"/>
        </w:trPr>
        <w:tc>
          <w:tcPr>
            <w:tcW w:w="562" w:type="dxa"/>
            <w:vAlign w:val="center"/>
          </w:tcPr>
          <w:p w:rsidR="008150B9" w:rsidRPr="00882976" w:rsidRDefault="007D6BEE" w:rsidP="008150B9">
            <w:pPr>
              <w:spacing w:after="0"/>
              <w:ind w:right="-46"/>
              <w:jc w:val="center"/>
              <w:rPr>
                <w:rFonts w:cs="Arial"/>
                <w:b/>
                <w:bCs/>
              </w:rPr>
            </w:pPr>
          </w:p>
        </w:tc>
        <w:tc>
          <w:tcPr>
            <w:tcW w:w="5437" w:type="dxa"/>
            <w:vAlign w:val="center"/>
          </w:tcPr>
          <w:p w:rsidR="008150B9" w:rsidRPr="00882976" w:rsidRDefault="007D6BEE" w:rsidP="008150B9">
            <w:pPr>
              <w:spacing w:after="0"/>
              <w:ind w:right="-46"/>
              <w:jc w:val="center"/>
              <w:rPr>
                <w:rFonts w:cs="Arial"/>
                <w:b/>
                <w:bCs/>
              </w:rPr>
            </w:pPr>
            <w:r w:rsidRPr="00882976">
              <w:rPr>
                <w:rFonts w:cs="Arial"/>
                <w:b/>
                <w:bCs/>
              </w:rPr>
              <w:t>Contents</w:t>
            </w:r>
          </w:p>
        </w:tc>
        <w:tc>
          <w:tcPr>
            <w:tcW w:w="3017" w:type="dxa"/>
            <w:vAlign w:val="center"/>
          </w:tcPr>
          <w:p w:rsidR="008150B9" w:rsidRPr="00882976" w:rsidRDefault="007D6BEE" w:rsidP="008150B9">
            <w:pPr>
              <w:spacing w:after="0"/>
              <w:ind w:right="-46"/>
              <w:jc w:val="center"/>
              <w:rPr>
                <w:rFonts w:cs="Arial"/>
                <w:b/>
                <w:bCs/>
              </w:rPr>
            </w:pPr>
            <w:r w:rsidRPr="00882976">
              <w:rPr>
                <w:rFonts w:cs="Arial"/>
                <w:b/>
                <w:bCs/>
              </w:rPr>
              <w:t>Page</w:t>
            </w:r>
          </w:p>
        </w:tc>
      </w:tr>
      <w:tr w:rsidR="008F3A16" w:rsidTr="008150B9">
        <w:tc>
          <w:tcPr>
            <w:tcW w:w="562" w:type="dxa"/>
            <w:vAlign w:val="center"/>
          </w:tcPr>
          <w:p w:rsidR="008150B9" w:rsidRPr="00882976" w:rsidRDefault="007D6BEE" w:rsidP="008150B9">
            <w:pPr>
              <w:spacing w:after="0"/>
              <w:ind w:right="-46"/>
              <w:jc w:val="center"/>
              <w:rPr>
                <w:rFonts w:cs="Arial"/>
                <w:b/>
                <w:bCs/>
              </w:rPr>
            </w:pPr>
            <w:r w:rsidRPr="00882976">
              <w:rPr>
                <w:rFonts w:cs="Arial"/>
                <w:b/>
                <w:bCs/>
              </w:rPr>
              <w:t>1</w:t>
            </w:r>
          </w:p>
        </w:tc>
        <w:tc>
          <w:tcPr>
            <w:tcW w:w="5437" w:type="dxa"/>
            <w:vAlign w:val="center"/>
          </w:tcPr>
          <w:p w:rsidR="000A747F" w:rsidRPr="00CE5051" w:rsidRDefault="007D6BEE" w:rsidP="003D58F1">
            <w:pPr>
              <w:spacing w:after="0"/>
              <w:ind w:right="-46"/>
              <w:rPr>
                <w:rFonts w:cs="Arial"/>
                <w:bCs/>
              </w:rPr>
            </w:pPr>
            <w:r w:rsidRPr="00CE5051">
              <w:rPr>
                <w:rFonts w:cs="Arial"/>
                <w:bCs/>
              </w:rPr>
              <w:t xml:space="preserve">Introduction </w:t>
            </w:r>
          </w:p>
        </w:tc>
        <w:tc>
          <w:tcPr>
            <w:tcW w:w="3017" w:type="dxa"/>
            <w:vAlign w:val="center"/>
          </w:tcPr>
          <w:p w:rsidR="008150B9" w:rsidRPr="00882976" w:rsidRDefault="007D6BEE" w:rsidP="000A747F">
            <w:pPr>
              <w:spacing w:after="0"/>
              <w:ind w:right="-46"/>
              <w:jc w:val="center"/>
              <w:rPr>
                <w:rFonts w:cs="Arial"/>
                <w:b/>
                <w:bCs/>
              </w:rPr>
            </w:pPr>
            <w:r>
              <w:rPr>
                <w:rFonts w:cs="Arial"/>
                <w:b/>
                <w:bCs/>
              </w:rPr>
              <w:t>3</w:t>
            </w:r>
          </w:p>
        </w:tc>
      </w:tr>
      <w:tr w:rsidR="008F3A16" w:rsidTr="008150B9">
        <w:tc>
          <w:tcPr>
            <w:tcW w:w="562" w:type="dxa"/>
            <w:vAlign w:val="center"/>
          </w:tcPr>
          <w:p w:rsidR="008150B9" w:rsidRPr="00882976" w:rsidRDefault="007D6BEE" w:rsidP="008150B9">
            <w:pPr>
              <w:spacing w:after="0"/>
              <w:ind w:right="-46"/>
              <w:jc w:val="center"/>
              <w:rPr>
                <w:rFonts w:cs="Arial"/>
                <w:b/>
                <w:bCs/>
              </w:rPr>
            </w:pPr>
            <w:r w:rsidRPr="00882976">
              <w:rPr>
                <w:rFonts w:cs="Arial"/>
                <w:b/>
                <w:bCs/>
              </w:rPr>
              <w:t>2</w:t>
            </w:r>
          </w:p>
        </w:tc>
        <w:tc>
          <w:tcPr>
            <w:tcW w:w="5437" w:type="dxa"/>
            <w:vAlign w:val="center"/>
          </w:tcPr>
          <w:p w:rsidR="000A747F" w:rsidRPr="00CE5051" w:rsidRDefault="007D6BEE" w:rsidP="003D58F1">
            <w:pPr>
              <w:spacing w:after="0"/>
              <w:ind w:right="-46"/>
              <w:rPr>
                <w:rFonts w:cs="Arial"/>
                <w:bCs/>
              </w:rPr>
            </w:pPr>
            <w:r w:rsidRPr="00CE5051">
              <w:rPr>
                <w:rFonts w:cs="Arial"/>
                <w:lang w:eastAsia="en-GB"/>
              </w:rPr>
              <w:t>Quarter 1 - Forecast Outturn 2017/18</w:t>
            </w:r>
          </w:p>
        </w:tc>
        <w:tc>
          <w:tcPr>
            <w:tcW w:w="3017" w:type="dxa"/>
            <w:vAlign w:val="center"/>
          </w:tcPr>
          <w:p w:rsidR="008150B9" w:rsidRPr="00882976" w:rsidRDefault="007D6BEE" w:rsidP="000A747F">
            <w:pPr>
              <w:spacing w:after="0"/>
              <w:ind w:right="-46"/>
              <w:jc w:val="center"/>
              <w:rPr>
                <w:rFonts w:cs="Arial"/>
                <w:b/>
                <w:bCs/>
              </w:rPr>
            </w:pPr>
            <w:r>
              <w:rPr>
                <w:rFonts w:cs="Arial"/>
                <w:b/>
                <w:bCs/>
              </w:rPr>
              <w:t>4</w:t>
            </w:r>
          </w:p>
        </w:tc>
      </w:tr>
      <w:tr w:rsidR="008F3A16" w:rsidTr="008150B9">
        <w:tc>
          <w:tcPr>
            <w:tcW w:w="562" w:type="dxa"/>
            <w:vAlign w:val="center"/>
          </w:tcPr>
          <w:p w:rsidR="008150B9" w:rsidRPr="00882976" w:rsidRDefault="007D6BEE" w:rsidP="008150B9">
            <w:pPr>
              <w:spacing w:after="0"/>
              <w:ind w:right="-46"/>
              <w:jc w:val="center"/>
              <w:rPr>
                <w:rFonts w:cs="Arial"/>
                <w:b/>
                <w:bCs/>
              </w:rPr>
            </w:pPr>
            <w:r w:rsidRPr="00882976">
              <w:rPr>
                <w:rFonts w:cs="Arial"/>
                <w:b/>
                <w:bCs/>
              </w:rPr>
              <w:t>3</w:t>
            </w:r>
          </w:p>
        </w:tc>
        <w:tc>
          <w:tcPr>
            <w:tcW w:w="5437" w:type="dxa"/>
            <w:vAlign w:val="center"/>
          </w:tcPr>
          <w:p w:rsidR="000A747F" w:rsidRPr="00CE5051" w:rsidRDefault="007D6BEE" w:rsidP="003D58F1">
            <w:pPr>
              <w:spacing w:after="0"/>
              <w:ind w:right="-46"/>
              <w:rPr>
                <w:rFonts w:cs="Arial"/>
                <w:bCs/>
              </w:rPr>
            </w:pPr>
            <w:r w:rsidRPr="00CE5051">
              <w:rPr>
                <w:rFonts w:cs="Arial"/>
                <w:lang w:eastAsia="en-GB"/>
              </w:rPr>
              <w:t>Detailed Variance Analysis</w:t>
            </w:r>
          </w:p>
        </w:tc>
        <w:tc>
          <w:tcPr>
            <w:tcW w:w="3017" w:type="dxa"/>
            <w:vAlign w:val="center"/>
          </w:tcPr>
          <w:p w:rsidR="008150B9" w:rsidRPr="00882976" w:rsidRDefault="007D6BEE" w:rsidP="000A747F">
            <w:pPr>
              <w:spacing w:after="0"/>
              <w:ind w:right="-46"/>
              <w:jc w:val="center"/>
              <w:rPr>
                <w:rFonts w:cs="Arial"/>
                <w:b/>
                <w:bCs/>
              </w:rPr>
            </w:pPr>
            <w:r>
              <w:rPr>
                <w:rFonts w:cs="Arial"/>
                <w:b/>
                <w:bCs/>
              </w:rPr>
              <w:t>5</w:t>
            </w:r>
          </w:p>
        </w:tc>
      </w:tr>
    </w:tbl>
    <w:p w:rsidR="0037393E" w:rsidRPr="00882976" w:rsidRDefault="007D6BEE" w:rsidP="003D58F1">
      <w:pPr>
        <w:spacing w:after="0"/>
        <w:ind w:right="-46"/>
        <w:rPr>
          <w:rFonts w:cs="Arial"/>
          <w:b/>
          <w:bCs/>
        </w:rPr>
      </w:pPr>
    </w:p>
    <w:p w:rsidR="00932C3B" w:rsidRPr="00853732" w:rsidRDefault="007D6BEE" w:rsidP="00853732">
      <w:pPr>
        <w:autoSpaceDE/>
        <w:autoSpaceDN/>
        <w:adjustRightInd/>
        <w:spacing w:after="0"/>
        <w:jc w:val="left"/>
        <w:rPr>
          <w:rFonts w:cs="Arial"/>
          <w:b/>
        </w:rPr>
      </w:pPr>
      <w:r w:rsidRPr="00882976">
        <w:rPr>
          <w:rFonts w:cs="Arial"/>
          <w:b/>
        </w:rPr>
        <w:br w:type="page"/>
      </w:r>
    </w:p>
    <w:p w:rsidR="00853732" w:rsidRPr="00882976" w:rsidRDefault="007D6BEE" w:rsidP="00853732">
      <w:pPr>
        <w:pStyle w:val="ListParagraph"/>
        <w:numPr>
          <w:ilvl w:val="0"/>
          <w:numId w:val="25"/>
        </w:numPr>
        <w:spacing w:after="0"/>
        <w:ind w:left="567" w:hanging="567"/>
        <w:rPr>
          <w:rFonts w:cs="Arial"/>
          <w:b/>
        </w:rPr>
      </w:pPr>
      <w:r>
        <w:rPr>
          <w:rFonts w:cs="Arial"/>
          <w:b/>
        </w:rPr>
        <w:lastRenderedPageBreak/>
        <w:t>Introduction</w:t>
      </w:r>
    </w:p>
    <w:p w:rsidR="00853732" w:rsidRPr="00882976" w:rsidRDefault="007D6BEE" w:rsidP="00853732">
      <w:pPr>
        <w:tabs>
          <w:tab w:val="left" w:pos="567"/>
          <w:tab w:val="left" w:pos="1134"/>
        </w:tabs>
        <w:spacing w:after="0"/>
        <w:rPr>
          <w:rFonts w:cs="Arial"/>
          <w:b/>
        </w:rPr>
      </w:pPr>
    </w:p>
    <w:p w:rsidR="00AD081B" w:rsidRDefault="007D6BEE" w:rsidP="00853732">
      <w:pPr>
        <w:autoSpaceDE/>
        <w:autoSpaceDN/>
        <w:adjustRightInd/>
        <w:spacing w:after="0"/>
        <w:rPr>
          <w:rFonts w:cs="Arial"/>
          <w:lang w:eastAsia="en-GB"/>
        </w:rPr>
      </w:pPr>
      <w:r w:rsidRPr="00D8797B">
        <w:rPr>
          <w:rFonts w:cs="Arial"/>
          <w:lang w:eastAsia="en-GB"/>
        </w:rPr>
        <w:t xml:space="preserve">The </w:t>
      </w:r>
      <w:r>
        <w:rPr>
          <w:rFonts w:cs="Arial"/>
          <w:lang w:eastAsia="en-GB"/>
        </w:rPr>
        <w:t>2017/18 Capital Programme budget approved</w:t>
      </w:r>
      <w:r w:rsidRPr="00D8797B">
        <w:rPr>
          <w:rFonts w:cs="Arial"/>
          <w:lang w:eastAsia="en-GB"/>
        </w:rPr>
        <w:t xml:space="preserve"> by the</w:t>
      </w:r>
      <w:r>
        <w:rPr>
          <w:rFonts w:cs="Arial"/>
          <w:lang w:eastAsia="en-GB"/>
        </w:rPr>
        <w:t xml:space="preserve"> County Council in February 2017</w:t>
      </w:r>
      <w:r w:rsidRPr="00D8797B">
        <w:rPr>
          <w:rFonts w:cs="Arial"/>
          <w:lang w:eastAsia="en-GB"/>
        </w:rPr>
        <w:t xml:space="preserve"> </w:t>
      </w:r>
      <w:r>
        <w:rPr>
          <w:rFonts w:cs="Arial"/>
          <w:lang w:eastAsia="en-GB"/>
        </w:rPr>
        <w:t xml:space="preserve">totalled £126.184m relating to LCC (non-LEP) activity. </w:t>
      </w:r>
    </w:p>
    <w:p w:rsidR="00AD081B" w:rsidRDefault="007D6BEE" w:rsidP="00853732">
      <w:pPr>
        <w:autoSpaceDE/>
        <w:autoSpaceDN/>
        <w:adjustRightInd/>
        <w:spacing w:after="0"/>
        <w:rPr>
          <w:rFonts w:cs="Arial"/>
          <w:lang w:eastAsia="en-GB"/>
        </w:rPr>
      </w:pPr>
    </w:p>
    <w:p w:rsidR="00AD081B" w:rsidRDefault="007D6BEE" w:rsidP="00853732">
      <w:pPr>
        <w:autoSpaceDE/>
        <w:autoSpaceDN/>
        <w:adjustRightInd/>
        <w:spacing w:after="0"/>
        <w:rPr>
          <w:rFonts w:cs="Arial"/>
          <w:lang w:eastAsia="en-GB"/>
        </w:rPr>
      </w:pPr>
      <w:r>
        <w:rPr>
          <w:rFonts w:cs="Arial"/>
          <w:lang w:eastAsia="en-GB"/>
        </w:rPr>
        <w:t xml:space="preserve">In subsequent months </w:t>
      </w:r>
      <w:r>
        <w:rPr>
          <w:rFonts w:cs="Arial"/>
          <w:lang w:eastAsia="en-GB"/>
        </w:rPr>
        <w:t xml:space="preserve">changes </w:t>
      </w:r>
      <w:r>
        <w:rPr>
          <w:rFonts w:cs="Arial"/>
          <w:lang w:eastAsia="en-GB"/>
        </w:rPr>
        <w:t xml:space="preserve">have been made </w:t>
      </w:r>
      <w:r>
        <w:rPr>
          <w:rFonts w:cs="Arial"/>
          <w:lang w:eastAsia="en-GB"/>
        </w:rPr>
        <w:t>to the programme as detailed in T</w:t>
      </w:r>
      <w:r>
        <w:rPr>
          <w:rFonts w:cs="Arial"/>
          <w:lang w:eastAsia="en-GB"/>
        </w:rPr>
        <w:t xml:space="preserve">able 1. This has resulted in additions to the programme to the value of </w:t>
      </w:r>
      <w:r>
        <w:rPr>
          <w:rFonts w:cs="Arial"/>
          <w:lang w:eastAsia="en-GB"/>
        </w:rPr>
        <w:t>£38.948m and £6.299m re-profiled to later years.</w:t>
      </w:r>
      <w:r>
        <w:rPr>
          <w:rFonts w:cs="Arial"/>
          <w:lang w:eastAsia="en-GB"/>
        </w:rPr>
        <w:t xml:space="preserve"> </w:t>
      </w:r>
      <w:r>
        <w:rPr>
          <w:rFonts w:cs="Arial"/>
          <w:lang w:eastAsia="en-GB"/>
        </w:rPr>
        <w:t>The</w:t>
      </w:r>
      <w:r>
        <w:rPr>
          <w:rFonts w:cs="Arial"/>
          <w:lang w:eastAsia="en-GB"/>
        </w:rPr>
        <w:t xml:space="preserve"> changes that have been made</w:t>
      </w:r>
      <w:r>
        <w:rPr>
          <w:rFonts w:cs="Arial"/>
          <w:lang w:eastAsia="en-GB"/>
        </w:rPr>
        <w:t xml:space="preserve"> are all a</w:t>
      </w:r>
      <w:r>
        <w:rPr>
          <w:rFonts w:cs="Arial"/>
          <w:lang w:eastAsia="en-GB"/>
        </w:rPr>
        <w:t>s a</w:t>
      </w:r>
      <w:r>
        <w:rPr>
          <w:rFonts w:cs="Arial"/>
          <w:lang w:eastAsia="en-GB"/>
        </w:rPr>
        <w:t xml:space="preserve"> result of Cabinet decisions and include all decisions up to and including the July Cabinet.  </w:t>
      </w:r>
    </w:p>
    <w:p w:rsidR="00AD081B" w:rsidRDefault="007D6BEE" w:rsidP="00853732">
      <w:pPr>
        <w:autoSpaceDE/>
        <w:autoSpaceDN/>
        <w:adjustRightInd/>
        <w:spacing w:after="0"/>
        <w:rPr>
          <w:rFonts w:cs="Arial"/>
          <w:lang w:eastAsia="en-GB"/>
        </w:rPr>
      </w:pPr>
    </w:p>
    <w:p w:rsidR="00853732" w:rsidRPr="00D8797B" w:rsidRDefault="007D6BEE" w:rsidP="00853732">
      <w:pPr>
        <w:autoSpaceDE/>
        <w:autoSpaceDN/>
        <w:adjustRightInd/>
        <w:spacing w:after="0"/>
        <w:rPr>
          <w:rFonts w:cs="Arial"/>
          <w:lang w:eastAsia="en-GB"/>
        </w:rPr>
      </w:pPr>
      <w:r>
        <w:rPr>
          <w:rFonts w:cs="Arial"/>
          <w:lang w:eastAsia="en-GB"/>
        </w:rPr>
        <w:t>A full review of the existing capital programme is currently underway identifying unallocated budgets</w:t>
      </w:r>
      <w:r>
        <w:rPr>
          <w:rFonts w:cs="Arial"/>
          <w:lang w:eastAsia="en-GB"/>
        </w:rPr>
        <w:t>,</w:t>
      </w:r>
      <w:r>
        <w:rPr>
          <w:rFonts w:cs="Arial"/>
          <w:lang w:eastAsia="en-GB"/>
        </w:rPr>
        <w:t xml:space="preserve"> and </w:t>
      </w:r>
      <w:r>
        <w:rPr>
          <w:rFonts w:cs="Arial"/>
          <w:lang w:eastAsia="en-GB"/>
        </w:rPr>
        <w:t>it is imp</w:t>
      </w:r>
      <w:r>
        <w:rPr>
          <w:rFonts w:cs="Arial"/>
          <w:lang w:eastAsia="en-GB"/>
        </w:rPr>
        <w:t xml:space="preserve">ortant to note that </w:t>
      </w:r>
      <w:r>
        <w:rPr>
          <w:rFonts w:cs="Arial"/>
          <w:lang w:eastAsia="en-GB"/>
        </w:rPr>
        <w:t>this report has been produced using the new P</w:t>
      </w:r>
      <w:r>
        <w:rPr>
          <w:rFonts w:cs="Arial"/>
          <w:lang w:eastAsia="en-GB"/>
        </w:rPr>
        <w:t>rogramme and Project Management System (P</w:t>
      </w:r>
      <w:r>
        <w:rPr>
          <w:rFonts w:cs="Arial"/>
          <w:lang w:eastAsia="en-GB"/>
        </w:rPr>
        <w:t>PMS</w:t>
      </w:r>
      <w:r>
        <w:rPr>
          <w:rFonts w:cs="Arial"/>
          <w:lang w:eastAsia="en-GB"/>
        </w:rPr>
        <w:t>)</w:t>
      </w:r>
      <w:r>
        <w:rPr>
          <w:rFonts w:cs="Arial"/>
          <w:lang w:eastAsia="en-GB"/>
        </w:rPr>
        <w:t xml:space="preserve"> system for the first time</w:t>
      </w:r>
      <w:r>
        <w:rPr>
          <w:rFonts w:cs="Arial"/>
          <w:lang w:eastAsia="en-GB"/>
        </w:rPr>
        <w:t>,</w:t>
      </w:r>
      <w:r>
        <w:rPr>
          <w:rFonts w:cs="Arial"/>
          <w:lang w:eastAsia="en-GB"/>
        </w:rPr>
        <w:t xml:space="preserve"> and is a snap shot in time looking back at the first 3 months of this financial year.  Project managers will be consta</w:t>
      </w:r>
      <w:r>
        <w:rPr>
          <w:rFonts w:cs="Arial"/>
          <w:lang w:eastAsia="en-GB"/>
        </w:rPr>
        <w:t>ntly managing delivery of their projects and updating PPMS on a regular basis so it is expected that the position will change between monitoring reports.</w:t>
      </w:r>
    </w:p>
    <w:p w:rsidR="00EA27B6" w:rsidRDefault="007D6BEE" w:rsidP="00853732">
      <w:pPr>
        <w:autoSpaceDE/>
        <w:autoSpaceDN/>
        <w:adjustRightInd/>
        <w:spacing w:after="0"/>
        <w:jc w:val="left"/>
        <w:rPr>
          <w:rFonts w:cs="Arial"/>
          <w:b/>
          <w:u w:val="single"/>
          <w:lang w:eastAsia="en-GB"/>
        </w:rPr>
      </w:pPr>
    </w:p>
    <w:p w:rsidR="00AD081B" w:rsidRPr="00AD081B" w:rsidRDefault="007D6BEE" w:rsidP="00853732">
      <w:pPr>
        <w:autoSpaceDE/>
        <w:autoSpaceDN/>
        <w:adjustRightInd/>
        <w:spacing w:after="0"/>
        <w:jc w:val="left"/>
        <w:rPr>
          <w:rFonts w:cs="Arial"/>
          <w:b/>
          <w:u w:val="single"/>
          <w:lang w:eastAsia="en-GB"/>
        </w:rPr>
      </w:pPr>
      <w:r w:rsidRPr="00AD081B">
        <w:rPr>
          <w:rFonts w:cs="Arial"/>
          <w:b/>
          <w:u w:val="single"/>
          <w:lang w:eastAsia="en-GB"/>
        </w:rPr>
        <w:t>Table 1:</w:t>
      </w:r>
      <w:r>
        <w:rPr>
          <w:rFonts w:cs="Arial"/>
          <w:b/>
          <w:u w:val="single"/>
          <w:lang w:eastAsia="en-GB"/>
        </w:rPr>
        <w:t xml:space="preserve">  Capital Programme </w:t>
      </w:r>
      <w:r>
        <w:rPr>
          <w:rFonts w:cs="Arial"/>
          <w:b/>
          <w:u w:val="single"/>
          <w:lang w:eastAsia="en-GB"/>
        </w:rPr>
        <w:t xml:space="preserve">(following </w:t>
      </w:r>
      <w:r>
        <w:rPr>
          <w:rFonts w:cs="Arial"/>
          <w:b/>
          <w:u w:val="single"/>
          <w:lang w:eastAsia="en-GB"/>
        </w:rPr>
        <w:t>July Cabinet</w:t>
      </w:r>
      <w:r>
        <w:rPr>
          <w:rFonts w:cs="Arial"/>
          <w:b/>
          <w:u w:val="single"/>
          <w:lang w:eastAsia="en-GB"/>
        </w:rPr>
        <w:t>)</w:t>
      </w:r>
    </w:p>
    <w:p w:rsidR="00853732" w:rsidRDefault="007D6BEE" w:rsidP="00853732">
      <w:pPr>
        <w:autoSpaceDE/>
        <w:autoSpaceDN/>
        <w:adjustRightInd/>
        <w:spacing w:after="0"/>
        <w:jc w:val="left"/>
        <w:rPr>
          <w:rFonts w:cs="Arial"/>
          <w:lang w:eastAsia="en-GB"/>
        </w:rPr>
      </w:pPr>
    </w:p>
    <w:tbl>
      <w:tblPr>
        <w:tblStyle w:val="TableGrid"/>
        <w:tblW w:w="9498" w:type="dxa"/>
        <w:tblInd w:w="-5" w:type="dxa"/>
        <w:tblLayout w:type="fixed"/>
        <w:tblLook w:val="04A0" w:firstRow="1" w:lastRow="0" w:firstColumn="1" w:lastColumn="0" w:noHBand="0" w:noVBand="1"/>
      </w:tblPr>
      <w:tblGrid>
        <w:gridCol w:w="2977"/>
        <w:gridCol w:w="1559"/>
        <w:gridCol w:w="1560"/>
        <w:gridCol w:w="1842"/>
        <w:gridCol w:w="1560"/>
      </w:tblGrid>
      <w:tr w:rsidR="008F3A16" w:rsidTr="002F0E68">
        <w:trPr>
          <w:trHeight w:val="305"/>
        </w:trPr>
        <w:tc>
          <w:tcPr>
            <w:tcW w:w="2977" w:type="dxa"/>
            <w:vMerge w:val="restart"/>
            <w:vAlign w:val="center"/>
            <w:hideMark/>
          </w:tcPr>
          <w:p w:rsidR="00A16492" w:rsidRPr="00646B7A" w:rsidRDefault="007D6BEE" w:rsidP="001A0E48">
            <w:pPr>
              <w:spacing w:after="0"/>
              <w:jc w:val="center"/>
              <w:rPr>
                <w:rFonts w:cs="Arial"/>
                <w:b/>
                <w:bCs/>
                <w:lang w:eastAsia="en-GB"/>
              </w:rPr>
            </w:pPr>
            <w:r w:rsidRPr="00646B7A">
              <w:rPr>
                <w:rFonts w:cs="Arial"/>
                <w:b/>
                <w:bCs/>
                <w:lang w:eastAsia="en-GB"/>
              </w:rPr>
              <w:t>Service Area</w:t>
            </w:r>
          </w:p>
        </w:tc>
        <w:tc>
          <w:tcPr>
            <w:tcW w:w="1559" w:type="dxa"/>
            <w:vMerge w:val="restart"/>
          </w:tcPr>
          <w:p w:rsidR="00A16492" w:rsidRDefault="007D6BEE" w:rsidP="001A0E48">
            <w:pPr>
              <w:autoSpaceDE/>
              <w:autoSpaceDN/>
              <w:adjustRightInd/>
              <w:spacing w:after="0"/>
              <w:jc w:val="center"/>
              <w:rPr>
                <w:rFonts w:cs="Arial"/>
                <w:b/>
                <w:bCs/>
                <w:lang w:eastAsia="en-GB"/>
              </w:rPr>
            </w:pPr>
            <w:r>
              <w:rPr>
                <w:rFonts w:cs="Arial"/>
                <w:b/>
                <w:bCs/>
                <w:lang w:eastAsia="en-GB"/>
              </w:rPr>
              <w:t xml:space="preserve">Delivery Programme Agreed at Full </w:t>
            </w:r>
            <w:r>
              <w:rPr>
                <w:rFonts w:cs="Arial"/>
                <w:b/>
                <w:bCs/>
                <w:lang w:eastAsia="en-GB"/>
              </w:rPr>
              <w:t>Council February 2017</w:t>
            </w:r>
          </w:p>
          <w:p w:rsidR="00A16492" w:rsidRPr="00646B7A" w:rsidRDefault="007D6BEE" w:rsidP="001A0E48">
            <w:pPr>
              <w:autoSpaceDE/>
              <w:autoSpaceDN/>
              <w:adjustRightInd/>
              <w:spacing w:after="0"/>
              <w:jc w:val="center"/>
              <w:rPr>
                <w:rFonts w:cs="Arial"/>
                <w:b/>
                <w:bCs/>
                <w:lang w:eastAsia="en-GB"/>
              </w:rPr>
            </w:pPr>
            <w:r>
              <w:rPr>
                <w:rFonts w:cs="Arial"/>
                <w:b/>
                <w:bCs/>
                <w:lang w:eastAsia="en-GB"/>
              </w:rPr>
              <w:t>(A)</w:t>
            </w:r>
          </w:p>
        </w:tc>
        <w:tc>
          <w:tcPr>
            <w:tcW w:w="3402" w:type="dxa"/>
            <w:gridSpan w:val="2"/>
            <w:hideMark/>
          </w:tcPr>
          <w:p w:rsidR="00A16492" w:rsidRPr="00646B7A" w:rsidRDefault="007D6BEE" w:rsidP="00F03AE5">
            <w:pPr>
              <w:autoSpaceDE/>
              <w:autoSpaceDN/>
              <w:adjustRightInd/>
              <w:spacing w:after="0"/>
              <w:jc w:val="center"/>
              <w:rPr>
                <w:rFonts w:cs="Arial"/>
                <w:b/>
                <w:bCs/>
                <w:lang w:eastAsia="en-GB"/>
              </w:rPr>
            </w:pPr>
            <w:r w:rsidRPr="00646B7A">
              <w:rPr>
                <w:rFonts w:cs="Arial"/>
                <w:b/>
                <w:bCs/>
                <w:lang w:eastAsia="en-GB"/>
              </w:rPr>
              <w:t>Changes</w:t>
            </w:r>
            <w:r>
              <w:rPr>
                <w:rFonts w:cs="Arial"/>
                <w:b/>
                <w:bCs/>
                <w:lang w:eastAsia="en-GB"/>
              </w:rPr>
              <w:t xml:space="preserve"> since February 2017 up to July Cabinet</w:t>
            </w:r>
          </w:p>
        </w:tc>
        <w:tc>
          <w:tcPr>
            <w:tcW w:w="1560" w:type="dxa"/>
            <w:hideMark/>
          </w:tcPr>
          <w:p w:rsidR="00A16492" w:rsidRPr="00646B7A" w:rsidRDefault="007D6BEE">
            <w:pPr>
              <w:autoSpaceDE/>
              <w:autoSpaceDN/>
              <w:adjustRightInd/>
              <w:spacing w:after="0"/>
              <w:jc w:val="center"/>
              <w:rPr>
                <w:rFonts w:cs="Arial"/>
                <w:b/>
                <w:bCs/>
                <w:lang w:eastAsia="en-GB"/>
              </w:rPr>
            </w:pPr>
            <w:r w:rsidRPr="00646B7A">
              <w:rPr>
                <w:rFonts w:cs="Arial"/>
                <w:b/>
                <w:bCs/>
                <w:lang w:eastAsia="en-GB"/>
              </w:rPr>
              <w:t>2017/18</w:t>
            </w:r>
          </w:p>
        </w:tc>
      </w:tr>
      <w:tr w:rsidR="008F3A16" w:rsidTr="002F0E68">
        <w:trPr>
          <w:trHeight w:val="999"/>
        </w:trPr>
        <w:tc>
          <w:tcPr>
            <w:tcW w:w="2977" w:type="dxa"/>
            <w:vMerge/>
            <w:hideMark/>
          </w:tcPr>
          <w:p w:rsidR="00A16492" w:rsidRPr="00646B7A" w:rsidRDefault="007D6BEE" w:rsidP="001A0E48">
            <w:pPr>
              <w:autoSpaceDE/>
              <w:autoSpaceDN/>
              <w:adjustRightInd/>
              <w:spacing w:after="0"/>
              <w:jc w:val="center"/>
              <w:rPr>
                <w:rFonts w:cs="Arial"/>
                <w:b/>
                <w:bCs/>
                <w:lang w:eastAsia="en-GB"/>
              </w:rPr>
            </w:pPr>
          </w:p>
        </w:tc>
        <w:tc>
          <w:tcPr>
            <w:tcW w:w="1559" w:type="dxa"/>
            <w:vMerge/>
          </w:tcPr>
          <w:p w:rsidR="00A16492" w:rsidRPr="00646B7A" w:rsidRDefault="007D6BEE" w:rsidP="001A0E48">
            <w:pPr>
              <w:autoSpaceDE/>
              <w:autoSpaceDN/>
              <w:adjustRightInd/>
              <w:spacing w:after="0"/>
              <w:jc w:val="center"/>
              <w:rPr>
                <w:rFonts w:cs="Arial"/>
                <w:b/>
                <w:bCs/>
                <w:lang w:eastAsia="en-GB"/>
              </w:rPr>
            </w:pPr>
          </w:p>
        </w:tc>
        <w:tc>
          <w:tcPr>
            <w:tcW w:w="1560" w:type="dxa"/>
            <w:hideMark/>
          </w:tcPr>
          <w:p w:rsidR="00A16492" w:rsidRDefault="007D6BEE" w:rsidP="001A0E48">
            <w:pPr>
              <w:autoSpaceDE/>
              <w:autoSpaceDN/>
              <w:adjustRightInd/>
              <w:spacing w:after="0"/>
              <w:jc w:val="center"/>
              <w:rPr>
                <w:rFonts w:cs="Arial"/>
                <w:b/>
                <w:bCs/>
                <w:lang w:eastAsia="en-GB"/>
              </w:rPr>
            </w:pPr>
            <w:r>
              <w:rPr>
                <w:rFonts w:cs="Arial"/>
                <w:b/>
                <w:bCs/>
                <w:lang w:eastAsia="en-GB"/>
              </w:rPr>
              <w:t xml:space="preserve">Cabinet </w:t>
            </w:r>
            <w:r w:rsidRPr="00646B7A">
              <w:rPr>
                <w:rFonts w:cs="Arial"/>
                <w:b/>
                <w:bCs/>
                <w:lang w:eastAsia="en-GB"/>
              </w:rPr>
              <w:t>Decision</w:t>
            </w:r>
            <w:r>
              <w:rPr>
                <w:rFonts w:cs="Arial"/>
                <w:b/>
                <w:bCs/>
                <w:lang w:eastAsia="en-GB"/>
              </w:rPr>
              <w:t>s</w:t>
            </w:r>
          </w:p>
          <w:p w:rsidR="00A16492" w:rsidRPr="00646B7A" w:rsidRDefault="007D6BEE" w:rsidP="001A0E48">
            <w:pPr>
              <w:autoSpaceDE/>
              <w:autoSpaceDN/>
              <w:adjustRightInd/>
              <w:spacing w:after="0"/>
              <w:jc w:val="center"/>
              <w:rPr>
                <w:rFonts w:cs="Arial"/>
                <w:b/>
                <w:bCs/>
                <w:lang w:eastAsia="en-GB"/>
              </w:rPr>
            </w:pPr>
            <w:r>
              <w:rPr>
                <w:rFonts w:cs="Arial"/>
                <w:b/>
                <w:bCs/>
                <w:lang w:eastAsia="en-GB"/>
              </w:rPr>
              <w:t>(B)</w:t>
            </w:r>
          </w:p>
        </w:tc>
        <w:tc>
          <w:tcPr>
            <w:tcW w:w="1842" w:type="dxa"/>
            <w:hideMark/>
          </w:tcPr>
          <w:p w:rsidR="00A16492" w:rsidRDefault="007D6BEE" w:rsidP="001A0E48">
            <w:pPr>
              <w:autoSpaceDE/>
              <w:autoSpaceDN/>
              <w:adjustRightInd/>
              <w:spacing w:after="0"/>
              <w:jc w:val="center"/>
              <w:rPr>
                <w:rFonts w:cs="Arial"/>
                <w:b/>
                <w:bCs/>
                <w:lang w:eastAsia="en-GB"/>
              </w:rPr>
            </w:pPr>
            <w:r w:rsidRPr="00646B7A">
              <w:rPr>
                <w:rFonts w:cs="Arial"/>
                <w:b/>
                <w:bCs/>
                <w:lang w:eastAsia="en-GB"/>
              </w:rPr>
              <w:t>Reprofiling</w:t>
            </w:r>
            <w:r>
              <w:rPr>
                <w:rFonts w:cs="Arial"/>
                <w:b/>
                <w:bCs/>
                <w:lang w:eastAsia="en-GB"/>
              </w:rPr>
              <w:t xml:space="preserve"> to future years following Cabinet Decisions</w:t>
            </w:r>
          </w:p>
          <w:p w:rsidR="00A16492" w:rsidRPr="00646B7A" w:rsidRDefault="007D6BEE" w:rsidP="001A0E48">
            <w:pPr>
              <w:autoSpaceDE/>
              <w:autoSpaceDN/>
              <w:adjustRightInd/>
              <w:spacing w:after="0"/>
              <w:jc w:val="center"/>
              <w:rPr>
                <w:rFonts w:cs="Arial"/>
                <w:b/>
                <w:bCs/>
                <w:lang w:eastAsia="en-GB"/>
              </w:rPr>
            </w:pPr>
            <w:r>
              <w:rPr>
                <w:rFonts w:cs="Arial"/>
                <w:b/>
                <w:bCs/>
                <w:lang w:eastAsia="en-GB"/>
              </w:rPr>
              <w:t>(C)</w:t>
            </w:r>
          </w:p>
        </w:tc>
        <w:tc>
          <w:tcPr>
            <w:tcW w:w="1560" w:type="dxa"/>
            <w:hideMark/>
          </w:tcPr>
          <w:p w:rsidR="00A16492" w:rsidRDefault="007D6BEE" w:rsidP="001A0E48">
            <w:pPr>
              <w:autoSpaceDE/>
              <w:autoSpaceDN/>
              <w:adjustRightInd/>
              <w:spacing w:after="0"/>
              <w:jc w:val="center"/>
              <w:rPr>
                <w:rFonts w:cs="Arial"/>
                <w:b/>
                <w:bCs/>
                <w:lang w:eastAsia="en-GB"/>
              </w:rPr>
            </w:pPr>
            <w:r>
              <w:rPr>
                <w:rFonts w:cs="Arial"/>
                <w:b/>
                <w:bCs/>
                <w:lang w:eastAsia="en-GB"/>
              </w:rPr>
              <w:t>New Programme of Delivery</w:t>
            </w:r>
          </w:p>
          <w:p w:rsidR="00A16492" w:rsidRPr="00646B7A" w:rsidRDefault="007D6BEE" w:rsidP="001A0E48">
            <w:pPr>
              <w:autoSpaceDE/>
              <w:autoSpaceDN/>
              <w:adjustRightInd/>
              <w:spacing w:after="0"/>
              <w:jc w:val="center"/>
              <w:rPr>
                <w:rFonts w:cs="Arial"/>
                <w:b/>
                <w:bCs/>
                <w:lang w:eastAsia="en-GB"/>
              </w:rPr>
            </w:pPr>
            <w:r>
              <w:rPr>
                <w:rFonts w:cs="Arial"/>
                <w:b/>
                <w:bCs/>
                <w:lang w:eastAsia="en-GB"/>
              </w:rPr>
              <w:t>(A+B+C)</w:t>
            </w:r>
          </w:p>
        </w:tc>
      </w:tr>
      <w:tr w:rsidR="008F3A16" w:rsidTr="002F0E68">
        <w:trPr>
          <w:trHeight w:val="305"/>
        </w:trPr>
        <w:tc>
          <w:tcPr>
            <w:tcW w:w="2977" w:type="dxa"/>
            <w:hideMark/>
          </w:tcPr>
          <w:p w:rsidR="00A16492" w:rsidRPr="00646B7A" w:rsidRDefault="007D6BEE" w:rsidP="00EC0A35">
            <w:pPr>
              <w:autoSpaceDE/>
              <w:autoSpaceDN/>
              <w:adjustRightInd/>
              <w:spacing w:after="0"/>
              <w:jc w:val="left"/>
              <w:rPr>
                <w:rFonts w:cs="Arial"/>
                <w:b/>
                <w:bCs/>
                <w:lang w:eastAsia="en-GB"/>
              </w:rPr>
            </w:pPr>
          </w:p>
        </w:tc>
        <w:tc>
          <w:tcPr>
            <w:tcW w:w="1559" w:type="dxa"/>
          </w:tcPr>
          <w:p w:rsidR="00A16492" w:rsidRPr="00646B7A" w:rsidRDefault="007D6BEE" w:rsidP="00EC0A35">
            <w:pPr>
              <w:autoSpaceDE/>
              <w:autoSpaceDN/>
              <w:adjustRightInd/>
              <w:spacing w:after="0"/>
              <w:jc w:val="center"/>
              <w:rPr>
                <w:rFonts w:cs="Arial"/>
                <w:b/>
                <w:bCs/>
                <w:lang w:eastAsia="en-GB"/>
              </w:rPr>
            </w:pPr>
            <w:r>
              <w:rPr>
                <w:rFonts w:cs="Arial"/>
                <w:b/>
                <w:bCs/>
                <w:lang w:eastAsia="en-GB"/>
              </w:rPr>
              <w:t>£m</w:t>
            </w:r>
          </w:p>
        </w:tc>
        <w:tc>
          <w:tcPr>
            <w:tcW w:w="1560" w:type="dxa"/>
            <w:hideMark/>
          </w:tcPr>
          <w:p w:rsidR="00A16492" w:rsidRPr="00646B7A" w:rsidRDefault="007D6BEE" w:rsidP="00EC0A35">
            <w:pPr>
              <w:autoSpaceDE/>
              <w:autoSpaceDN/>
              <w:adjustRightInd/>
              <w:spacing w:after="0"/>
              <w:jc w:val="center"/>
              <w:rPr>
                <w:rFonts w:cs="Arial"/>
                <w:b/>
                <w:bCs/>
                <w:lang w:eastAsia="en-GB"/>
              </w:rPr>
            </w:pPr>
            <w:r w:rsidRPr="00646B7A">
              <w:rPr>
                <w:rFonts w:cs="Arial"/>
                <w:b/>
                <w:bCs/>
                <w:lang w:eastAsia="en-GB"/>
              </w:rPr>
              <w:t>£m</w:t>
            </w:r>
          </w:p>
        </w:tc>
        <w:tc>
          <w:tcPr>
            <w:tcW w:w="1842" w:type="dxa"/>
            <w:hideMark/>
          </w:tcPr>
          <w:p w:rsidR="00A16492" w:rsidRPr="00646B7A" w:rsidRDefault="007D6BEE" w:rsidP="00EC0A35">
            <w:pPr>
              <w:autoSpaceDE/>
              <w:autoSpaceDN/>
              <w:adjustRightInd/>
              <w:spacing w:after="0"/>
              <w:jc w:val="center"/>
              <w:rPr>
                <w:rFonts w:cs="Arial"/>
                <w:b/>
                <w:bCs/>
                <w:lang w:eastAsia="en-GB"/>
              </w:rPr>
            </w:pPr>
            <w:r w:rsidRPr="00646B7A">
              <w:rPr>
                <w:rFonts w:cs="Arial"/>
                <w:b/>
                <w:bCs/>
                <w:lang w:eastAsia="en-GB"/>
              </w:rPr>
              <w:t>£m</w:t>
            </w:r>
          </w:p>
        </w:tc>
        <w:tc>
          <w:tcPr>
            <w:tcW w:w="1560" w:type="dxa"/>
            <w:hideMark/>
          </w:tcPr>
          <w:p w:rsidR="00A16492" w:rsidRPr="00646B7A" w:rsidRDefault="007D6BEE" w:rsidP="00EC0A35">
            <w:pPr>
              <w:autoSpaceDE/>
              <w:autoSpaceDN/>
              <w:adjustRightInd/>
              <w:spacing w:after="0"/>
              <w:jc w:val="center"/>
              <w:rPr>
                <w:rFonts w:cs="Arial"/>
                <w:b/>
                <w:bCs/>
                <w:lang w:eastAsia="en-GB"/>
              </w:rPr>
            </w:pPr>
            <w:r w:rsidRPr="00646B7A">
              <w:rPr>
                <w:rFonts w:cs="Arial"/>
                <w:b/>
                <w:bCs/>
                <w:lang w:eastAsia="en-GB"/>
              </w:rPr>
              <w:t>£m</w:t>
            </w:r>
          </w:p>
        </w:tc>
      </w:tr>
      <w:tr w:rsidR="008F3A16" w:rsidTr="002F0E68">
        <w:trPr>
          <w:trHeight w:val="416"/>
        </w:trPr>
        <w:tc>
          <w:tcPr>
            <w:tcW w:w="2977" w:type="dxa"/>
            <w:vAlign w:val="center"/>
            <w:hideMark/>
          </w:tcPr>
          <w:p w:rsidR="00A16492" w:rsidRPr="00646B7A" w:rsidRDefault="007D6BEE" w:rsidP="00AD081B">
            <w:pPr>
              <w:autoSpaceDE/>
              <w:autoSpaceDN/>
              <w:adjustRightInd/>
              <w:spacing w:after="0"/>
              <w:jc w:val="left"/>
              <w:rPr>
                <w:rFonts w:cs="Arial"/>
                <w:lang w:eastAsia="en-GB"/>
              </w:rPr>
            </w:pPr>
            <w:r w:rsidRPr="00646B7A">
              <w:rPr>
                <w:rFonts w:cs="Arial"/>
                <w:lang w:eastAsia="en-GB"/>
              </w:rPr>
              <w:t>Schools (inc</w:t>
            </w:r>
            <w:r>
              <w:rPr>
                <w:rFonts w:cs="Arial"/>
                <w:lang w:eastAsia="en-GB"/>
              </w:rPr>
              <w:t>l.</w:t>
            </w:r>
            <w:r w:rsidRPr="00646B7A">
              <w:rPr>
                <w:rFonts w:cs="Arial"/>
                <w:lang w:eastAsia="en-GB"/>
              </w:rPr>
              <w:t xml:space="preserve"> DFC)</w:t>
            </w:r>
          </w:p>
        </w:tc>
        <w:tc>
          <w:tcPr>
            <w:tcW w:w="1559" w:type="dxa"/>
            <w:vAlign w:val="center"/>
          </w:tcPr>
          <w:p w:rsidR="00A16492" w:rsidRPr="00AD081B" w:rsidRDefault="007D6BEE" w:rsidP="00AD081B">
            <w:pPr>
              <w:autoSpaceDE/>
              <w:autoSpaceDN/>
              <w:adjustRightInd/>
              <w:spacing w:after="0"/>
              <w:jc w:val="right"/>
              <w:rPr>
                <w:rFonts w:cs="Arial"/>
                <w:bCs/>
                <w:lang w:eastAsia="en-GB"/>
              </w:rPr>
            </w:pPr>
            <w:r w:rsidRPr="00AD081B">
              <w:rPr>
                <w:rFonts w:cs="Arial"/>
                <w:bCs/>
                <w:lang w:eastAsia="en-GB"/>
              </w:rPr>
              <w:t>32.320</w:t>
            </w:r>
          </w:p>
        </w:tc>
        <w:tc>
          <w:tcPr>
            <w:tcW w:w="1560" w:type="dxa"/>
            <w:vAlign w:val="center"/>
            <w:hideMark/>
          </w:tcPr>
          <w:p w:rsidR="00A16492" w:rsidRPr="00AD081B" w:rsidRDefault="007D6BEE" w:rsidP="00AD081B">
            <w:pPr>
              <w:autoSpaceDE/>
              <w:autoSpaceDN/>
              <w:adjustRightInd/>
              <w:spacing w:after="0"/>
              <w:jc w:val="right"/>
              <w:rPr>
                <w:rFonts w:cs="Arial"/>
                <w:bCs/>
                <w:lang w:eastAsia="en-GB"/>
              </w:rPr>
            </w:pPr>
            <w:r w:rsidRPr="00AD081B">
              <w:rPr>
                <w:rFonts w:cs="Arial"/>
                <w:bCs/>
                <w:lang w:eastAsia="en-GB"/>
              </w:rPr>
              <w:t>5.531</w:t>
            </w:r>
          </w:p>
        </w:tc>
        <w:tc>
          <w:tcPr>
            <w:tcW w:w="1842" w:type="dxa"/>
            <w:vAlign w:val="center"/>
            <w:hideMark/>
          </w:tcPr>
          <w:p w:rsidR="00A16492" w:rsidRPr="00AD081B" w:rsidRDefault="007D6BEE" w:rsidP="00AD081B">
            <w:pPr>
              <w:autoSpaceDE/>
              <w:autoSpaceDN/>
              <w:adjustRightInd/>
              <w:spacing w:after="0"/>
              <w:jc w:val="right"/>
              <w:rPr>
                <w:rFonts w:cs="Arial"/>
                <w:bCs/>
                <w:lang w:eastAsia="en-GB"/>
              </w:rPr>
            </w:pPr>
            <w:r w:rsidRPr="00AD081B">
              <w:rPr>
                <w:rFonts w:cs="Arial"/>
                <w:bCs/>
                <w:lang w:eastAsia="en-GB"/>
              </w:rPr>
              <w:t>-0.413</w:t>
            </w:r>
          </w:p>
        </w:tc>
        <w:tc>
          <w:tcPr>
            <w:tcW w:w="1560" w:type="dxa"/>
            <w:vAlign w:val="center"/>
            <w:hideMark/>
          </w:tcPr>
          <w:p w:rsidR="00A16492" w:rsidRPr="00AD081B" w:rsidRDefault="007D6BEE" w:rsidP="00AD081B">
            <w:pPr>
              <w:autoSpaceDE/>
              <w:autoSpaceDN/>
              <w:adjustRightInd/>
              <w:spacing w:after="0"/>
              <w:jc w:val="right"/>
              <w:rPr>
                <w:rFonts w:cs="Arial"/>
                <w:b/>
                <w:bCs/>
                <w:lang w:eastAsia="en-GB"/>
              </w:rPr>
            </w:pPr>
            <w:r w:rsidRPr="00AD081B">
              <w:rPr>
                <w:rFonts w:cs="Arial"/>
                <w:b/>
                <w:bCs/>
                <w:lang w:eastAsia="en-GB"/>
              </w:rPr>
              <w:t>37.438</w:t>
            </w:r>
          </w:p>
        </w:tc>
      </w:tr>
      <w:tr w:rsidR="008F3A16" w:rsidTr="002F0E68">
        <w:trPr>
          <w:trHeight w:val="416"/>
        </w:trPr>
        <w:tc>
          <w:tcPr>
            <w:tcW w:w="2977" w:type="dxa"/>
            <w:vAlign w:val="center"/>
            <w:hideMark/>
          </w:tcPr>
          <w:p w:rsidR="00A16492" w:rsidRPr="00646B7A" w:rsidRDefault="007D6BEE" w:rsidP="00AD081B">
            <w:pPr>
              <w:autoSpaceDE/>
              <w:autoSpaceDN/>
              <w:adjustRightInd/>
              <w:spacing w:after="0"/>
              <w:jc w:val="left"/>
              <w:rPr>
                <w:rFonts w:cs="Arial"/>
                <w:lang w:eastAsia="en-GB"/>
              </w:rPr>
            </w:pPr>
            <w:r w:rsidRPr="00646B7A">
              <w:rPr>
                <w:rFonts w:cs="Arial"/>
                <w:lang w:eastAsia="en-GB"/>
              </w:rPr>
              <w:t>Highways Maintenance</w:t>
            </w:r>
          </w:p>
        </w:tc>
        <w:tc>
          <w:tcPr>
            <w:tcW w:w="1559" w:type="dxa"/>
            <w:vAlign w:val="center"/>
          </w:tcPr>
          <w:p w:rsidR="00A16492" w:rsidRPr="00AD081B" w:rsidRDefault="007D6BEE" w:rsidP="00AD081B">
            <w:pPr>
              <w:autoSpaceDE/>
              <w:autoSpaceDN/>
              <w:adjustRightInd/>
              <w:spacing w:after="0"/>
              <w:jc w:val="right"/>
              <w:rPr>
                <w:rFonts w:cs="Arial"/>
                <w:bCs/>
                <w:lang w:eastAsia="en-GB"/>
              </w:rPr>
            </w:pPr>
            <w:r w:rsidRPr="00AD081B">
              <w:rPr>
                <w:rFonts w:cs="Arial"/>
                <w:bCs/>
                <w:lang w:eastAsia="en-GB"/>
              </w:rPr>
              <w:t>45.977</w:t>
            </w:r>
          </w:p>
        </w:tc>
        <w:tc>
          <w:tcPr>
            <w:tcW w:w="1560" w:type="dxa"/>
            <w:vAlign w:val="center"/>
            <w:hideMark/>
          </w:tcPr>
          <w:p w:rsidR="00A16492" w:rsidRPr="00AD081B" w:rsidRDefault="007D6BEE" w:rsidP="00AD081B">
            <w:pPr>
              <w:autoSpaceDE/>
              <w:autoSpaceDN/>
              <w:adjustRightInd/>
              <w:spacing w:after="0"/>
              <w:jc w:val="right"/>
              <w:rPr>
                <w:rFonts w:cs="Arial"/>
                <w:bCs/>
                <w:lang w:eastAsia="en-GB"/>
              </w:rPr>
            </w:pPr>
            <w:r w:rsidRPr="00AD081B">
              <w:rPr>
                <w:rFonts w:cs="Arial"/>
                <w:bCs/>
                <w:lang w:eastAsia="en-GB"/>
              </w:rPr>
              <w:t>10.042</w:t>
            </w:r>
          </w:p>
        </w:tc>
        <w:tc>
          <w:tcPr>
            <w:tcW w:w="1842" w:type="dxa"/>
            <w:vAlign w:val="center"/>
            <w:hideMark/>
          </w:tcPr>
          <w:p w:rsidR="00A16492" w:rsidRPr="00AD081B" w:rsidRDefault="007D6BEE" w:rsidP="00AD081B">
            <w:pPr>
              <w:autoSpaceDE/>
              <w:autoSpaceDN/>
              <w:adjustRightInd/>
              <w:spacing w:after="0"/>
              <w:jc w:val="right"/>
              <w:rPr>
                <w:rFonts w:cs="Arial"/>
                <w:bCs/>
                <w:lang w:eastAsia="en-GB"/>
              </w:rPr>
            </w:pPr>
            <w:r w:rsidRPr="00AD081B">
              <w:rPr>
                <w:rFonts w:cs="Arial"/>
                <w:bCs/>
                <w:lang w:eastAsia="en-GB"/>
              </w:rPr>
              <w:t>-1.026</w:t>
            </w:r>
          </w:p>
        </w:tc>
        <w:tc>
          <w:tcPr>
            <w:tcW w:w="1560" w:type="dxa"/>
            <w:vAlign w:val="center"/>
            <w:hideMark/>
          </w:tcPr>
          <w:p w:rsidR="00A16492" w:rsidRPr="00AD081B" w:rsidRDefault="007D6BEE" w:rsidP="00AD081B">
            <w:pPr>
              <w:autoSpaceDE/>
              <w:autoSpaceDN/>
              <w:adjustRightInd/>
              <w:spacing w:after="0"/>
              <w:jc w:val="right"/>
              <w:rPr>
                <w:rFonts w:cs="Arial"/>
                <w:b/>
                <w:bCs/>
                <w:lang w:eastAsia="en-GB"/>
              </w:rPr>
            </w:pPr>
            <w:r w:rsidRPr="00AD081B">
              <w:rPr>
                <w:rFonts w:cs="Arial"/>
                <w:b/>
                <w:bCs/>
                <w:lang w:eastAsia="en-GB"/>
              </w:rPr>
              <w:t>54.993</w:t>
            </w:r>
          </w:p>
        </w:tc>
      </w:tr>
      <w:tr w:rsidR="008F3A16" w:rsidTr="002F0E68">
        <w:trPr>
          <w:trHeight w:val="416"/>
        </w:trPr>
        <w:tc>
          <w:tcPr>
            <w:tcW w:w="2977" w:type="dxa"/>
            <w:vAlign w:val="center"/>
            <w:hideMark/>
          </w:tcPr>
          <w:p w:rsidR="00A16492" w:rsidRPr="00646B7A" w:rsidRDefault="007D6BEE" w:rsidP="00AD081B">
            <w:pPr>
              <w:autoSpaceDE/>
              <w:autoSpaceDN/>
              <w:adjustRightInd/>
              <w:spacing w:after="0"/>
              <w:jc w:val="left"/>
              <w:rPr>
                <w:rFonts w:cs="Arial"/>
                <w:lang w:eastAsia="en-GB"/>
              </w:rPr>
            </w:pPr>
            <w:r w:rsidRPr="00646B7A">
              <w:rPr>
                <w:rFonts w:cs="Arial"/>
                <w:lang w:eastAsia="en-GB"/>
              </w:rPr>
              <w:t>Transport Improvement Scheme</w:t>
            </w:r>
          </w:p>
        </w:tc>
        <w:tc>
          <w:tcPr>
            <w:tcW w:w="1559" w:type="dxa"/>
            <w:vAlign w:val="center"/>
          </w:tcPr>
          <w:p w:rsidR="00A16492" w:rsidRPr="00AD081B" w:rsidRDefault="007D6BEE" w:rsidP="00AD081B">
            <w:pPr>
              <w:autoSpaceDE/>
              <w:autoSpaceDN/>
              <w:adjustRightInd/>
              <w:spacing w:after="0"/>
              <w:jc w:val="right"/>
              <w:rPr>
                <w:rFonts w:cs="Arial"/>
                <w:bCs/>
                <w:lang w:eastAsia="en-GB"/>
              </w:rPr>
            </w:pPr>
            <w:r w:rsidRPr="00AD081B">
              <w:rPr>
                <w:rFonts w:cs="Arial"/>
                <w:bCs/>
                <w:lang w:eastAsia="en-GB"/>
              </w:rPr>
              <w:t>26.582</w:t>
            </w:r>
          </w:p>
        </w:tc>
        <w:tc>
          <w:tcPr>
            <w:tcW w:w="1560" w:type="dxa"/>
            <w:vAlign w:val="center"/>
            <w:hideMark/>
          </w:tcPr>
          <w:p w:rsidR="00A16492" w:rsidRPr="00AD081B" w:rsidRDefault="007D6BEE" w:rsidP="00AD081B">
            <w:pPr>
              <w:autoSpaceDE/>
              <w:autoSpaceDN/>
              <w:adjustRightInd/>
              <w:spacing w:after="0"/>
              <w:jc w:val="right"/>
              <w:rPr>
                <w:rFonts w:cs="Arial"/>
                <w:bCs/>
                <w:lang w:eastAsia="en-GB"/>
              </w:rPr>
            </w:pPr>
            <w:r w:rsidRPr="00AD081B">
              <w:rPr>
                <w:rFonts w:cs="Arial"/>
                <w:bCs/>
                <w:lang w:eastAsia="en-GB"/>
              </w:rPr>
              <w:t>3.450</w:t>
            </w:r>
          </w:p>
        </w:tc>
        <w:tc>
          <w:tcPr>
            <w:tcW w:w="1842" w:type="dxa"/>
            <w:vAlign w:val="center"/>
            <w:hideMark/>
          </w:tcPr>
          <w:p w:rsidR="00A16492" w:rsidRPr="00AD081B" w:rsidRDefault="007D6BEE" w:rsidP="00AD081B">
            <w:pPr>
              <w:autoSpaceDE/>
              <w:autoSpaceDN/>
              <w:adjustRightInd/>
              <w:spacing w:after="0"/>
              <w:jc w:val="right"/>
              <w:rPr>
                <w:rFonts w:cs="Arial"/>
                <w:bCs/>
                <w:lang w:eastAsia="en-GB"/>
              </w:rPr>
            </w:pPr>
            <w:r w:rsidRPr="00AD081B">
              <w:rPr>
                <w:rFonts w:cs="Arial"/>
                <w:bCs/>
                <w:lang w:eastAsia="en-GB"/>
              </w:rPr>
              <w:t>-0.636</w:t>
            </w:r>
          </w:p>
        </w:tc>
        <w:tc>
          <w:tcPr>
            <w:tcW w:w="1560" w:type="dxa"/>
            <w:vAlign w:val="center"/>
            <w:hideMark/>
          </w:tcPr>
          <w:p w:rsidR="00A16492" w:rsidRPr="00AD081B" w:rsidRDefault="007D6BEE" w:rsidP="00AD081B">
            <w:pPr>
              <w:autoSpaceDE/>
              <w:autoSpaceDN/>
              <w:adjustRightInd/>
              <w:spacing w:after="0"/>
              <w:jc w:val="right"/>
              <w:rPr>
                <w:rFonts w:cs="Arial"/>
                <w:b/>
                <w:bCs/>
                <w:lang w:eastAsia="en-GB"/>
              </w:rPr>
            </w:pPr>
            <w:r w:rsidRPr="00AD081B">
              <w:rPr>
                <w:rFonts w:cs="Arial"/>
                <w:b/>
                <w:bCs/>
                <w:lang w:eastAsia="en-GB"/>
              </w:rPr>
              <w:t>29.396</w:t>
            </w:r>
          </w:p>
        </w:tc>
      </w:tr>
      <w:tr w:rsidR="008F3A16" w:rsidTr="002F0E68">
        <w:trPr>
          <w:trHeight w:val="416"/>
        </w:trPr>
        <w:tc>
          <w:tcPr>
            <w:tcW w:w="2977" w:type="dxa"/>
            <w:vAlign w:val="center"/>
            <w:hideMark/>
          </w:tcPr>
          <w:p w:rsidR="00A16492" w:rsidRPr="00646B7A" w:rsidRDefault="007D6BEE" w:rsidP="00AD081B">
            <w:pPr>
              <w:autoSpaceDE/>
              <w:autoSpaceDN/>
              <w:adjustRightInd/>
              <w:spacing w:after="0"/>
              <w:jc w:val="left"/>
              <w:rPr>
                <w:rFonts w:cs="Arial"/>
                <w:lang w:eastAsia="en-GB"/>
              </w:rPr>
            </w:pPr>
            <w:r w:rsidRPr="00646B7A">
              <w:rPr>
                <w:rFonts w:cs="Arial"/>
                <w:lang w:eastAsia="en-GB"/>
              </w:rPr>
              <w:t>Adult Social Care</w:t>
            </w:r>
          </w:p>
        </w:tc>
        <w:tc>
          <w:tcPr>
            <w:tcW w:w="1559" w:type="dxa"/>
            <w:vAlign w:val="center"/>
          </w:tcPr>
          <w:p w:rsidR="00A16492" w:rsidRPr="00AD081B" w:rsidRDefault="007D6BEE" w:rsidP="00AD081B">
            <w:pPr>
              <w:autoSpaceDE/>
              <w:autoSpaceDN/>
              <w:adjustRightInd/>
              <w:spacing w:after="0"/>
              <w:jc w:val="right"/>
              <w:rPr>
                <w:rFonts w:cs="Arial"/>
                <w:bCs/>
                <w:lang w:eastAsia="en-GB"/>
              </w:rPr>
            </w:pPr>
            <w:r w:rsidRPr="00AD081B">
              <w:rPr>
                <w:rFonts w:cs="Arial"/>
                <w:bCs/>
                <w:lang w:eastAsia="en-GB"/>
              </w:rPr>
              <w:t>0.562</w:t>
            </w:r>
          </w:p>
        </w:tc>
        <w:tc>
          <w:tcPr>
            <w:tcW w:w="1560" w:type="dxa"/>
            <w:vAlign w:val="center"/>
            <w:hideMark/>
          </w:tcPr>
          <w:p w:rsidR="00A16492" w:rsidRPr="00AD081B" w:rsidRDefault="007D6BEE" w:rsidP="00AD081B">
            <w:pPr>
              <w:autoSpaceDE/>
              <w:autoSpaceDN/>
              <w:adjustRightInd/>
              <w:spacing w:after="0"/>
              <w:jc w:val="right"/>
              <w:rPr>
                <w:rFonts w:cs="Arial"/>
                <w:bCs/>
                <w:lang w:eastAsia="en-GB"/>
              </w:rPr>
            </w:pPr>
            <w:r w:rsidRPr="00AD081B">
              <w:rPr>
                <w:rFonts w:cs="Arial"/>
                <w:bCs/>
                <w:lang w:eastAsia="en-GB"/>
              </w:rPr>
              <w:t>14.431</w:t>
            </w:r>
          </w:p>
        </w:tc>
        <w:tc>
          <w:tcPr>
            <w:tcW w:w="1842" w:type="dxa"/>
            <w:vAlign w:val="center"/>
            <w:hideMark/>
          </w:tcPr>
          <w:p w:rsidR="00A16492" w:rsidRPr="00AD081B" w:rsidRDefault="007D6BEE" w:rsidP="00AD081B">
            <w:pPr>
              <w:autoSpaceDE/>
              <w:autoSpaceDN/>
              <w:adjustRightInd/>
              <w:spacing w:after="0"/>
              <w:jc w:val="right"/>
              <w:rPr>
                <w:rFonts w:cs="Arial"/>
                <w:bCs/>
                <w:lang w:eastAsia="en-GB"/>
              </w:rPr>
            </w:pPr>
            <w:r w:rsidRPr="00AD081B">
              <w:rPr>
                <w:rFonts w:cs="Arial"/>
                <w:bCs/>
                <w:lang w:eastAsia="en-GB"/>
              </w:rPr>
              <w:t>-0.562</w:t>
            </w:r>
          </w:p>
        </w:tc>
        <w:tc>
          <w:tcPr>
            <w:tcW w:w="1560" w:type="dxa"/>
            <w:vAlign w:val="center"/>
            <w:hideMark/>
          </w:tcPr>
          <w:p w:rsidR="00A16492" w:rsidRPr="00AD081B" w:rsidRDefault="007D6BEE" w:rsidP="00AD081B">
            <w:pPr>
              <w:autoSpaceDE/>
              <w:autoSpaceDN/>
              <w:adjustRightInd/>
              <w:spacing w:after="0"/>
              <w:jc w:val="right"/>
              <w:rPr>
                <w:rFonts w:cs="Arial"/>
                <w:b/>
                <w:bCs/>
                <w:lang w:eastAsia="en-GB"/>
              </w:rPr>
            </w:pPr>
            <w:r w:rsidRPr="00AD081B">
              <w:rPr>
                <w:rFonts w:cs="Arial"/>
                <w:b/>
                <w:bCs/>
                <w:lang w:eastAsia="en-GB"/>
              </w:rPr>
              <w:t>14.431</w:t>
            </w:r>
          </w:p>
        </w:tc>
      </w:tr>
      <w:tr w:rsidR="008F3A16" w:rsidTr="002F0E68">
        <w:trPr>
          <w:trHeight w:val="416"/>
        </w:trPr>
        <w:tc>
          <w:tcPr>
            <w:tcW w:w="2977" w:type="dxa"/>
            <w:vAlign w:val="center"/>
            <w:hideMark/>
          </w:tcPr>
          <w:p w:rsidR="00A16492" w:rsidRPr="00646B7A" w:rsidRDefault="007D6BEE" w:rsidP="00AD081B">
            <w:pPr>
              <w:autoSpaceDE/>
              <w:autoSpaceDN/>
              <w:adjustRightInd/>
              <w:spacing w:after="0"/>
              <w:jc w:val="left"/>
              <w:rPr>
                <w:rFonts w:cs="Arial"/>
                <w:lang w:eastAsia="en-GB"/>
              </w:rPr>
            </w:pPr>
            <w:r w:rsidRPr="00646B7A">
              <w:rPr>
                <w:rFonts w:cs="Arial"/>
                <w:lang w:eastAsia="en-GB"/>
              </w:rPr>
              <w:t>Children and Young People's Service</w:t>
            </w:r>
          </w:p>
        </w:tc>
        <w:tc>
          <w:tcPr>
            <w:tcW w:w="1559" w:type="dxa"/>
            <w:vAlign w:val="center"/>
          </w:tcPr>
          <w:p w:rsidR="00A16492" w:rsidRPr="00AD081B" w:rsidRDefault="007D6BEE" w:rsidP="00AD081B">
            <w:pPr>
              <w:autoSpaceDE/>
              <w:autoSpaceDN/>
              <w:adjustRightInd/>
              <w:spacing w:after="0"/>
              <w:jc w:val="right"/>
              <w:rPr>
                <w:rFonts w:cs="Arial"/>
                <w:bCs/>
                <w:lang w:eastAsia="en-GB"/>
              </w:rPr>
            </w:pPr>
            <w:r w:rsidRPr="00AD081B">
              <w:rPr>
                <w:rFonts w:cs="Arial"/>
                <w:bCs/>
                <w:lang w:eastAsia="en-GB"/>
              </w:rPr>
              <w:t>3.014</w:t>
            </w:r>
          </w:p>
        </w:tc>
        <w:tc>
          <w:tcPr>
            <w:tcW w:w="1560" w:type="dxa"/>
            <w:vAlign w:val="center"/>
            <w:hideMark/>
          </w:tcPr>
          <w:p w:rsidR="00A16492" w:rsidRPr="00AD081B" w:rsidRDefault="007D6BEE" w:rsidP="00AD081B">
            <w:pPr>
              <w:autoSpaceDE/>
              <w:autoSpaceDN/>
              <w:adjustRightInd/>
              <w:spacing w:after="0"/>
              <w:jc w:val="right"/>
              <w:rPr>
                <w:rFonts w:cs="Arial"/>
                <w:bCs/>
                <w:lang w:eastAsia="en-GB"/>
              </w:rPr>
            </w:pPr>
            <w:r w:rsidRPr="00AD081B">
              <w:rPr>
                <w:rFonts w:cs="Arial"/>
                <w:bCs/>
                <w:lang w:eastAsia="en-GB"/>
              </w:rPr>
              <w:t>1.585</w:t>
            </w:r>
          </w:p>
        </w:tc>
        <w:tc>
          <w:tcPr>
            <w:tcW w:w="1842" w:type="dxa"/>
            <w:vAlign w:val="center"/>
            <w:hideMark/>
          </w:tcPr>
          <w:p w:rsidR="00A16492" w:rsidRPr="00AD081B" w:rsidRDefault="007D6BEE" w:rsidP="00AD081B">
            <w:pPr>
              <w:autoSpaceDE/>
              <w:autoSpaceDN/>
              <w:adjustRightInd/>
              <w:spacing w:after="0"/>
              <w:jc w:val="right"/>
              <w:rPr>
                <w:rFonts w:cs="Arial"/>
                <w:bCs/>
                <w:lang w:eastAsia="en-GB"/>
              </w:rPr>
            </w:pPr>
            <w:r w:rsidRPr="00AD081B">
              <w:rPr>
                <w:rFonts w:cs="Arial"/>
                <w:bCs/>
                <w:lang w:eastAsia="en-GB"/>
              </w:rPr>
              <w:t>0.326</w:t>
            </w:r>
          </w:p>
        </w:tc>
        <w:tc>
          <w:tcPr>
            <w:tcW w:w="1560" w:type="dxa"/>
            <w:vAlign w:val="center"/>
            <w:hideMark/>
          </w:tcPr>
          <w:p w:rsidR="00A16492" w:rsidRPr="00AD081B" w:rsidRDefault="007D6BEE" w:rsidP="00AD081B">
            <w:pPr>
              <w:autoSpaceDE/>
              <w:autoSpaceDN/>
              <w:adjustRightInd/>
              <w:spacing w:after="0"/>
              <w:jc w:val="right"/>
              <w:rPr>
                <w:rFonts w:cs="Arial"/>
                <w:b/>
                <w:bCs/>
                <w:lang w:eastAsia="en-GB"/>
              </w:rPr>
            </w:pPr>
            <w:r w:rsidRPr="00AD081B">
              <w:rPr>
                <w:rFonts w:cs="Arial"/>
                <w:b/>
                <w:bCs/>
                <w:lang w:eastAsia="en-GB"/>
              </w:rPr>
              <w:t>4.925</w:t>
            </w:r>
          </w:p>
        </w:tc>
      </w:tr>
      <w:tr w:rsidR="008F3A16" w:rsidTr="002F0E68">
        <w:trPr>
          <w:trHeight w:val="416"/>
        </w:trPr>
        <w:tc>
          <w:tcPr>
            <w:tcW w:w="2977" w:type="dxa"/>
            <w:vAlign w:val="center"/>
            <w:hideMark/>
          </w:tcPr>
          <w:p w:rsidR="00A16492" w:rsidRPr="00646B7A" w:rsidRDefault="007D6BEE" w:rsidP="00AD081B">
            <w:pPr>
              <w:autoSpaceDE/>
              <w:autoSpaceDN/>
              <w:adjustRightInd/>
              <w:spacing w:after="0"/>
              <w:jc w:val="left"/>
              <w:rPr>
                <w:rFonts w:cs="Arial"/>
                <w:lang w:eastAsia="en-GB"/>
              </w:rPr>
            </w:pPr>
            <w:r w:rsidRPr="00646B7A">
              <w:rPr>
                <w:rFonts w:cs="Arial"/>
                <w:lang w:eastAsia="en-GB"/>
              </w:rPr>
              <w:t>Waste and Other Projects</w:t>
            </w:r>
          </w:p>
        </w:tc>
        <w:tc>
          <w:tcPr>
            <w:tcW w:w="1559" w:type="dxa"/>
            <w:vAlign w:val="center"/>
          </w:tcPr>
          <w:p w:rsidR="00A16492" w:rsidRPr="00AD081B" w:rsidRDefault="007D6BEE" w:rsidP="00AD081B">
            <w:pPr>
              <w:autoSpaceDE/>
              <w:autoSpaceDN/>
              <w:adjustRightInd/>
              <w:spacing w:after="0"/>
              <w:jc w:val="right"/>
              <w:rPr>
                <w:rFonts w:cs="Arial"/>
                <w:bCs/>
                <w:lang w:eastAsia="en-GB"/>
              </w:rPr>
            </w:pPr>
            <w:r w:rsidRPr="00AD081B">
              <w:rPr>
                <w:rFonts w:cs="Arial"/>
                <w:bCs/>
                <w:lang w:eastAsia="en-GB"/>
              </w:rPr>
              <w:t>2.023</w:t>
            </w:r>
          </w:p>
        </w:tc>
        <w:tc>
          <w:tcPr>
            <w:tcW w:w="1560" w:type="dxa"/>
            <w:vAlign w:val="center"/>
            <w:hideMark/>
          </w:tcPr>
          <w:p w:rsidR="00A16492" w:rsidRPr="00AD081B" w:rsidRDefault="007D6BEE" w:rsidP="00AD081B">
            <w:pPr>
              <w:autoSpaceDE/>
              <w:autoSpaceDN/>
              <w:adjustRightInd/>
              <w:spacing w:after="0"/>
              <w:jc w:val="right"/>
              <w:rPr>
                <w:rFonts w:cs="Arial"/>
                <w:bCs/>
                <w:lang w:eastAsia="en-GB"/>
              </w:rPr>
            </w:pPr>
            <w:r w:rsidRPr="00AD081B">
              <w:rPr>
                <w:rFonts w:cs="Arial"/>
                <w:bCs/>
                <w:lang w:eastAsia="en-GB"/>
              </w:rPr>
              <w:t>0.350</w:t>
            </w:r>
          </w:p>
        </w:tc>
        <w:tc>
          <w:tcPr>
            <w:tcW w:w="1842" w:type="dxa"/>
            <w:vAlign w:val="center"/>
            <w:hideMark/>
          </w:tcPr>
          <w:p w:rsidR="00A16492" w:rsidRPr="00AD081B" w:rsidRDefault="007D6BEE" w:rsidP="00AD081B">
            <w:pPr>
              <w:autoSpaceDE/>
              <w:autoSpaceDN/>
              <w:adjustRightInd/>
              <w:spacing w:after="0"/>
              <w:jc w:val="right"/>
              <w:rPr>
                <w:rFonts w:cs="Arial"/>
                <w:bCs/>
                <w:lang w:eastAsia="en-GB"/>
              </w:rPr>
            </w:pPr>
            <w:r w:rsidRPr="00AD081B">
              <w:rPr>
                <w:rFonts w:cs="Arial"/>
                <w:bCs/>
                <w:lang w:eastAsia="en-GB"/>
              </w:rPr>
              <w:t>-1.552</w:t>
            </w:r>
          </w:p>
        </w:tc>
        <w:tc>
          <w:tcPr>
            <w:tcW w:w="1560" w:type="dxa"/>
            <w:vAlign w:val="center"/>
            <w:hideMark/>
          </w:tcPr>
          <w:p w:rsidR="00A16492" w:rsidRPr="00AD081B" w:rsidRDefault="007D6BEE" w:rsidP="00AD081B">
            <w:pPr>
              <w:autoSpaceDE/>
              <w:autoSpaceDN/>
              <w:adjustRightInd/>
              <w:spacing w:after="0"/>
              <w:jc w:val="right"/>
              <w:rPr>
                <w:rFonts w:cs="Arial"/>
                <w:b/>
                <w:bCs/>
                <w:lang w:eastAsia="en-GB"/>
              </w:rPr>
            </w:pPr>
            <w:r w:rsidRPr="00AD081B">
              <w:rPr>
                <w:rFonts w:cs="Arial"/>
                <w:b/>
                <w:bCs/>
                <w:lang w:eastAsia="en-GB"/>
              </w:rPr>
              <w:t>0.821</w:t>
            </w:r>
          </w:p>
        </w:tc>
      </w:tr>
      <w:tr w:rsidR="008F3A16" w:rsidTr="002F0E68">
        <w:trPr>
          <w:trHeight w:val="416"/>
        </w:trPr>
        <w:tc>
          <w:tcPr>
            <w:tcW w:w="2977" w:type="dxa"/>
            <w:vAlign w:val="center"/>
            <w:hideMark/>
          </w:tcPr>
          <w:p w:rsidR="00A16492" w:rsidRPr="00646B7A" w:rsidRDefault="007D6BEE" w:rsidP="00AD081B">
            <w:pPr>
              <w:autoSpaceDE/>
              <w:autoSpaceDN/>
              <w:adjustRightInd/>
              <w:spacing w:after="0"/>
              <w:jc w:val="left"/>
              <w:rPr>
                <w:rFonts w:cs="Arial"/>
                <w:lang w:eastAsia="en-GB"/>
              </w:rPr>
            </w:pPr>
            <w:r w:rsidRPr="00646B7A">
              <w:rPr>
                <w:rFonts w:cs="Arial"/>
                <w:lang w:eastAsia="en-GB"/>
              </w:rPr>
              <w:t>Corporate Programmes</w:t>
            </w:r>
          </w:p>
        </w:tc>
        <w:tc>
          <w:tcPr>
            <w:tcW w:w="1559" w:type="dxa"/>
            <w:vAlign w:val="center"/>
          </w:tcPr>
          <w:p w:rsidR="00A16492" w:rsidRPr="00AD081B" w:rsidRDefault="007D6BEE" w:rsidP="00AD081B">
            <w:pPr>
              <w:autoSpaceDE/>
              <w:autoSpaceDN/>
              <w:adjustRightInd/>
              <w:spacing w:after="0"/>
              <w:jc w:val="right"/>
              <w:rPr>
                <w:rFonts w:cs="Arial"/>
                <w:bCs/>
                <w:lang w:eastAsia="en-GB"/>
              </w:rPr>
            </w:pPr>
            <w:r w:rsidRPr="00AD081B">
              <w:rPr>
                <w:rFonts w:cs="Arial"/>
                <w:bCs/>
                <w:lang w:eastAsia="en-GB"/>
              </w:rPr>
              <w:t>12.276</w:t>
            </w:r>
          </w:p>
        </w:tc>
        <w:tc>
          <w:tcPr>
            <w:tcW w:w="1560" w:type="dxa"/>
            <w:vAlign w:val="center"/>
            <w:hideMark/>
          </w:tcPr>
          <w:p w:rsidR="00A16492" w:rsidRPr="00AD081B" w:rsidRDefault="007D6BEE" w:rsidP="00AD081B">
            <w:pPr>
              <w:autoSpaceDE/>
              <w:autoSpaceDN/>
              <w:adjustRightInd/>
              <w:spacing w:after="0"/>
              <w:jc w:val="right"/>
              <w:rPr>
                <w:rFonts w:cs="Arial"/>
                <w:bCs/>
                <w:lang w:eastAsia="en-GB"/>
              </w:rPr>
            </w:pPr>
            <w:r w:rsidRPr="00AD081B">
              <w:rPr>
                <w:rFonts w:cs="Arial"/>
                <w:bCs/>
                <w:lang w:eastAsia="en-GB"/>
              </w:rPr>
              <w:t>3.209</w:t>
            </w:r>
          </w:p>
        </w:tc>
        <w:tc>
          <w:tcPr>
            <w:tcW w:w="1842" w:type="dxa"/>
            <w:vAlign w:val="center"/>
            <w:hideMark/>
          </w:tcPr>
          <w:p w:rsidR="00A16492" w:rsidRPr="00AD081B" w:rsidRDefault="007D6BEE" w:rsidP="00AD081B">
            <w:pPr>
              <w:autoSpaceDE/>
              <w:autoSpaceDN/>
              <w:adjustRightInd/>
              <w:spacing w:after="0"/>
              <w:jc w:val="right"/>
              <w:rPr>
                <w:rFonts w:cs="Arial"/>
                <w:bCs/>
                <w:lang w:eastAsia="en-GB"/>
              </w:rPr>
            </w:pPr>
            <w:r w:rsidRPr="00AD081B">
              <w:rPr>
                <w:rFonts w:cs="Arial"/>
                <w:bCs/>
                <w:lang w:eastAsia="en-GB"/>
              </w:rPr>
              <w:t>-1.436</w:t>
            </w:r>
          </w:p>
        </w:tc>
        <w:tc>
          <w:tcPr>
            <w:tcW w:w="1560" w:type="dxa"/>
            <w:vAlign w:val="center"/>
            <w:hideMark/>
          </w:tcPr>
          <w:p w:rsidR="00A16492" w:rsidRPr="00AD081B" w:rsidRDefault="007D6BEE" w:rsidP="00AD081B">
            <w:pPr>
              <w:autoSpaceDE/>
              <w:autoSpaceDN/>
              <w:adjustRightInd/>
              <w:spacing w:after="0"/>
              <w:jc w:val="right"/>
              <w:rPr>
                <w:rFonts w:cs="Arial"/>
                <w:b/>
                <w:bCs/>
                <w:lang w:eastAsia="en-GB"/>
              </w:rPr>
            </w:pPr>
            <w:r w:rsidRPr="00AD081B">
              <w:rPr>
                <w:rFonts w:cs="Arial"/>
                <w:b/>
                <w:bCs/>
                <w:lang w:eastAsia="en-GB"/>
              </w:rPr>
              <w:t>14.049</w:t>
            </w:r>
          </w:p>
        </w:tc>
      </w:tr>
      <w:tr w:rsidR="008F3A16" w:rsidTr="002F0E68">
        <w:trPr>
          <w:trHeight w:val="416"/>
        </w:trPr>
        <w:tc>
          <w:tcPr>
            <w:tcW w:w="2977" w:type="dxa"/>
            <w:vAlign w:val="center"/>
            <w:hideMark/>
          </w:tcPr>
          <w:p w:rsidR="00A16492" w:rsidRPr="00646B7A" w:rsidRDefault="007D6BEE" w:rsidP="00AD081B">
            <w:pPr>
              <w:autoSpaceDE/>
              <w:autoSpaceDN/>
              <w:adjustRightInd/>
              <w:spacing w:after="0"/>
              <w:jc w:val="left"/>
              <w:rPr>
                <w:rFonts w:cs="Arial"/>
                <w:lang w:eastAsia="en-GB"/>
              </w:rPr>
            </w:pPr>
            <w:r w:rsidRPr="00646B7A">
              <w:rPr>
                <w:rFonts w:cs="Arial"/>
                <w:lang w:eastAsia="en-GB"/>
              </w:rPr>
              <w:t>Vehicle replacement programme</w:t>
            </w:r>
          </w:p>
        </w:tc>
        <w:tc>
          <w:tcPr>
            <w:tcW w:w="1559" w:type="dxa"/>
            <w:vAlign w:val="center"/>
          </w:tcPr>
          <w:p w:rsidR="00A16492" w:rsidRPr="00AD081B" w:rsidRDefault="007D6BEE" w:rsidP="00AD081B">
            <w:pPr>
              <w:autoSpaceDE/>
              <w:autoSpaceDN/>
              <w:adjustRightInd/>
              <w:spacing w:after="0"/>
              <w:jc w:val="right"/>
              <w:rPr>
                <w:rFonts w:cs="Arial"/>
                <w:bCs/>
                <w:lang w:eastAsia="en-GB"/>
              </w:rPr>
            </w:pPr>
            <w:r w:rsidRPr="00AD081B">
              <w:rPr>
                <w:rFonts w:cs="Arial"/>
                <w:bCs/>
                <w:lang w:eastAsia="en-GB"/>
              </w:rPr>
              <w:t>3.430</w:t>
            </w:r>
          </w:p>
        </w:tc>
        <w:tc>
          <w:tcPr>
            <w:tcW w:w="1560" w:type="dxa"/>
            <w:vAlign w:val="center"/>
            <w:hideMark/>
          </w:tcPr>
          <w:p w:rsidR="00A16492" w:rsidRPr="00AD081B" w:rsidRDefault="007D6BEE" w:rsidP="00AD081B">
            <w:pPr>
              <w:autoSpaceDE/>
              <w:autoSpaceDN/>
              <w:adjustRightInd/>
              <w:spacing w:after="0"/>
              <w:jc w:val="right"/>
              <w:rPr>
                <w:rFonts w:cs="Arial"/>
                <w:bCs/>
                <w:lang w:eastAsia="en-GB"/>
              </w:rPr>
            </w:pPr>
            <w:r w:rsidRPr="00AD081B">
              <w:rPr>
                <w:rFonts w:cs="Arial"/>
                <w:bCs/>
                <w:lang w:eastAsia="en-GB"/>
              </w:rPr>
              <w:t>0.350</w:t>
            </w:r>
          </w:p>
        </w:tc>
        <w:tc>
          <w:tcPr>
            <w:tcW w:w="1842" w:type="dxa"/>
            <w:vAlign w:val="center"/>
            <w:hideMark/>
          </w:tcPr>
          <w:p w:rsidR="00A16492" w:rsidRPr="00AD081B" w:rsidRDefault="007D6BEE" w:rsidP="00AD081B">
            <w:pPr>
              <w:autoSpaceDE/>
              <w:autoSpaceDN/>
              <w:adjustRightInd/>
              <w:spacing w:after="0"/>
              <w:jc w:val="right"/>
              <w:rPr>
                <w:rFonts w:cs="Arial"/>
                <w:bCs/>
                <w:lang w:eastAsia="en-GB"/>
              </w:rPr>
            </w:pPr>
            <w:r w:rsidRPr="00AD081B">
              <w:rPr>
                <w:rFonts w:cs="Arial"/>
                <w:bCs/>
                <w:lang w:eastAsia="en-GB"/>
              </w:rPr>
              <w:t>-1.000</w:t>
            </w:r>
          </w:p>
        </w:tc>
        <w:tc>
          <w:tcPr>
            <w:tcW w:w="1560" w:type="dxa"/>
            <w:vAlign w:val="center"/>
            <w:hideMark/>
          </w:tcPr>
          <w:p w:rsidR="00A16492" w:rsidRPr="00AD081B" w:rsidRDefault="007D6BEE" w:rsidP="00AD081B">
            <w:pPr>
              <w:autoSpaceDE/>
              <w:autoSpaceDN/>
              <w:adjustRightInd/>
              <w:spacing w:after="0"/>
              <w:jc w:val="right"/>
              <w:rPr>
                <w:rFonts w:cs="Arial"/>
                <w:b/>
                <w:bCs/>
                <w:lang w:eastAsia="en-GB"/>
              </w:rPr>
            </w:pPr>
            <w:r w:rsidRPr="00AD081B">
              <w:rPr>
                <w:rFonts w:cs="Arial"/>
                <w:b/>
                <w:bCs/>
                <w:lang w:eastAsia="en-GB"/>
              </w:rPr>
              <w:t>2.780</w:t>
            </w:r>
          </w:p>
        </w:tc>
      </w:tr>
      <w:tr w:rsidR="008F3A16" w:rsidTr="002F0E68">
        <w:trPr>
          <w:trHeight w:val="416"/>
        </w:trPr>
        <w:tc>
          <w:tcPr>
            <w:tcW w:w="2977" w:type="dxa"/>
            <w:vAlign w:val="center"/>
            <w:hideMark/>
          </w:tcPr>
          <w:p w:rsidR="00A16492" w:rsidRPr="00646B7A" w:rsidRDefault="007D6BEE" w:rsidP="002F0E68">
            <w:pPr>
              <w:autoSpaceDE/>
              <w:autoSpaceDN/>
              <w:adjustRightInd/>
              <w:spacing w:after="0"/>
              <w:jc w:val="left"/>
              <w:rPr>
                <w:rFonts w:cs="Arial"/>
                <w:b/>
                <w:bCs/>
                <w:lang w:eastAsia="en-GB"/>
              </w:rPr>
            </w:pPr>
            <w:r w:rsidRPr="00646B7A">
              <w:rPr>
                <w:rFonts w:cs="Arial"/>
                <w:b/>
                <w:bCs/>
                <w:lang w:eastAsia="en-GB"/>
              </w:rPr>
              <w:t>Total Programme</w:t>
            </w:r>
          </w:p>
        </w:tc>
        <w:tc>
          <w:tcPr>
            <w:tcW w:w="1559" w:type="dxa"/>
            <w:vAlign w:val="center"/>
          </w:tcPr>
          <w:p w:rsidR="00A16492" w:rsidRPr="00646B7A" w:rsidRDefault="007D6BEE" w:rsidP="00AD081B">
            <w:pPr>
              <w:autoSpaceDE/>
              <w:autoSpaceDN/>
              <w:adjustRightInd/>
              <w:spacing w:after="0"/>
              <w:jc w:val="right"/>
              <w:rPr>
                <w:rFonts w:cs="Arial"/>
                <w:b/>
                <w:bCs/>
                <w:lang w:eastAsia="en-GB"/>
              </w:rPr>
            </w:pPr>
            <w:r>
              <w:rPr>
                <w:rFonts w:cs="Arial"/>
                <w:b/>
                <w:bCs/>
                <w:lang w:eastAsia="en-GB"/>
              </w:rPr>
              <w:t>126.184</w:t>
            </w:r>
          </w:p>
        </w:tc>
        <w:tc>
          <w:tcPr>
            <w:tcW w:w="1560" w:type="dxa"/>
            <w:vAlign w:val="center"/>
            <w:hideMark/>
          </w:tcPr>
          <w:p w:rsidR="00A16492" w:rsidRPr="00646B7A" w:rsidRDefault="007D6BEE" w:rsidP="00AD081B">
            <w:pPr>
              <w:autoSpaceDE/>
              <w:autoSpaceDN/>
              <w:adjustRightInd/>
              <w:spacing w:after="0"/>
              <w:jc w:val="right"/>
              <w:rPr>
                <w:rFonts w:cs="Arial"/>
                <w:b/>
                <w:bCs/>
                <w:lang w:eastAsia="en-GB"/>
              </w:rPr>
            </w:pPr>
            <w:r w:rsidRPr="00646B7A">
              <w:rPr>
                <w:rFonts w:cs="Arial"/>
                <w:b/>
                <w:bCs/>
                <w:lang w:eastAsia="en-GB"/>
              </w:rPr>
              <w:t>3</w:t>
            </w:r>
            <w:r>
              <w:rPr>
                <w:rFonts w:cs="Arial"/>
                <w:b/>
                <w:bCs/>
                <w:lang w:eastAsia="en-GB"/>
              </w:rPr>
              <w:t>8.948</w:t>
            </w:r>
          </w:p>
        </w:tc>
        <w:tc>
          <w:tcPr>
            <w:tcW w:w="1842" w:type="dxa"/>
            <w:vAlign w:val="center"/>
            <w:hideMark/>
          </w:tcPr>
          <w:p w:rsidR="00A16492" w:rsidRPr="00646B7A" w:rsidRDefault="007D6BEE" w:rsidP="00AD081B">
            <w:pPr>
              <w:autoSpaceDE/>
              <w:autoSpaceDN/>
              <w:adjustRightInd/>
              <w:spacing w:after="0"/>
              <w:jc w:val="right"/>
              <w:rPr>
                <w:rFonts w:cs="Arial"/>
                <w:b/>
                <w:bCs/>
                <w:lang w:eastAsia="en-GB"/>
              </w:rPr>
            </w:pPr>
            <w:r w:rsidRPr="00646B7A">
              <w:rPr>
                <w:rFonts w:cs="Arial"/>
                <w:b/>
                <w:bCs/>
                <w:lang w:eastAsia="en-GB"/>
              </w:rPr>
              <w:t>-</w:t>
            </w:r>
            <w:r>
              <w:rPr>
                <w:rFonts w:cs="Arial"/>
                <w:b/>
                <w:bCs/>
                <w:lang w:eastAsia="en-GB"/>
              </w:rPr>
              <w:t>6.299</w:t>
            </w:r>
          </w:p>
        </w:tc>
        <w:tc>
          <w:tcPr>
            <w:tcW w:w="1560" w:type="dxa"/>
            <w:vAlign w:val="center"/>
            <w:hideMark/>
          </w:tcPr>
          <w:p w:rsidR="00A16492" w:rsidRPr="00646B7A" w:rsidRDefault="007D6BEE" w:rsidP="00AD081B">
            <w:pPr>
              <w:autoSpaceDE/>
              <w:autoSpaceDN/>
              <w:adjustRightInd/>
              <w:spacing w:after="0"/>
              <w:jc w:val="right"/>
              <w:rPr>
                <w:rFonts w:cs="Arial"/>
                <w:b/>
                <w:bCs/>
                <w:lang w:eastAsia="en-GB"/>
              </w:rPr>
            </w:pPr>
            <w:r w:rsidRPr="00646B7A">
              <w:rPr>
                <w:rFonts w:cs="Arial"/>
                <w:b/>
                <w:bCs/>
                <w:lang w:eastAsia="en-GB"/>
              </w:rPr>
              <w:t>1</w:t>
            </w:r>
            <w:r>
              <w:rPr>
                <w:rFonts w:cs="Arial"/>
                <w:b/>
                <w:bCs/>
                <w:lang w:eastAsia="en-GB"/>
              </w:rPr>
              <w:t>58.933</w:t>
            </w:r>
          </w:p>
        </w:tc>
      </w:tr>
    </w:tbl>
    <w:p w:rsidR="00853732" w:rsidRDefault="007D6BEE" w:rsidP="00853732">
      <w:pPr>
        <w:autoSpaceDE/>
        <w:autoSpaceDN/>
        <w:adjustRightInd/>
        <w:spacing w:after="0"/>
        <w:jc w:val="left"/>
        <w:rPr>
          <w:rFonts w:cs="Arial"/>
          <w:lang w:eastAsia="en-GB"/>
        </w:rPr>
      </w:pPr>
    </w:p>
    <w:p w:rsidR="00853732" w:rsidRDefault="007D6BEE" w:rsidP="00853732">
      <w:pPr>
        <w:autoSpaceDE/>
        <w:autoSpaceDN/>
        <w:adjustRightInd/>
        <w:spacing w:after="0"/>
        <w:jc w:val="left"/>
        <w:rPr>
          <w:rFonts w:cs="Arial"/>
          <w:sz w:val="22"/>
          <w:szCs w:val="22"/>
          <w:lang w:eastAsia="en-GB"/>
        </w:rPr>
      </w:pPr>
    </w:p>
    <w:p w:rsidR="00F22DF4" w:rsidRDefault="007D6BEE" w:rsidP="00853732">
      <w:pPr>
        <w:autoSpaceDE/>
        <w:autoSpaceDN/>
        <w:adjustRightInd/>
        <w:spacing w:after="0"/>
        <w:jc w:val="left"/>
        <w:rPr>
          <w:rFonts w:cs="Arial"/>
          <w:sz w:val="22"/>
          <w:szCs w:val="22"/>
          <w:lang w:eastAsia="en-GB"/>
        </w:rPr>
      </w:pPr>
    </w:p>
    <w:p w:rsidR="002F0E68" w:rsidRDefault="007D6BEE" w:rsidP="00853732">
      <w:pPr>
        <w:autoSpaceDE/>
        <w:autoSpaceDN/>
        <w:adjustRightInd/>
        <w:spacing w:after="0"/>
        <w:jc w:val="left"/>
        <w:rPr>
          <w:rFonts w:cs="Arial"/>
          <w:sz w:val="22"/>
          <w:szCs w:val="22"/>
          <w:lang w:eastAsia="en-GB"/>
        </w:rPr>
      </w:pPr>
    </w:p>
    <w:p w:rsidR="00AD081B" w:rsidRDefault="007D6BEE" w:rsidP="00853732">
      <w:pPr>
        <w:autoSpaceDE/>
        <w:autoSpaceDN/>
        <w:adjustRightInd/>
        <w:spacing w:after="0"/>
        <w:rPr>
          <w:rFonts w:cs="Arial"/>
          <w:lang w:eastAsia="en-GB"/>
        </w:rPr>
      </w:pPr>
    </w:p>
    <w:p w:rsidR="00F22DF4" w:rsidRDefault="007D6BEE" w:rsidP="00853732">
      <w:pPr>
        <w:autoSpaceDE/>
        <w:autoSpaceDN/>
        <w:adjustRightInd/>
        <w:spacing w:after="0"/>
        <w:rPr>
          <w:rFonts w:cs="Arial"/>
          <w:b/>
          <w:lang w:eastAsia="en-GB"/>
        </w:rPr>
      </w:pPr>
      <w:r w:rsidRPr="00F22DF4">
        <w:rPr>
          <w:rFonts w:cs="Arial"/>
          <w:b/>
          <w:lang w:eastAsia="en-GB"/>
        </w:rPr>
        <w:lastRenderedPageBreak/>
        <w:t xml:space="preserve">2. </w:t>
      </w:r>
      <w:r>
        <w:rPr>
          <w:rFonts w:cs="Arial"/>
          <w:b/>
          <w:lang w:eastAsia="en-GB"/>
        </w:rPr>
        <w:tab/>
        <w:t xml:space="preserve">Quarter 1 - </w:t>
      </w:r>
      <w:r w:rsidRPr="00F22DF4">
        <w:rPr>
          <w:rFonts w:cs="Arial"/>
          <w:b/>
          <w:lang w:eastAsia="en-GB"/>
        </w:rPr>
        <w:t>Forecast Outturn</w:t>
      </w:r>
      <w:r>
        <w:rPr>
          <w:rFonts w:cs="Arial"/>
          <w:b/>
          <w:lang w:eastAsia="en-GB"/>
        </w:rPr>
        <w:t xml:space="preserve"> 2017/18</w:t>
      </w:r>
    </w:p>
    <w:p w:rsidR="00F22DF4" w:rsidRPr="00F22DF4" w:rsidRDefault="007D6BEE" w:rsidP="00853732">
      <w:pPr>
        <w:autoSpaceDE/>
        <w:autoSpaceDN/>
        <w:adjustRightInd/>
        <w:spacing w:after="0"/>
        <w:rPr>
          <w:rFonts w:cs="Arial"/>
          <w:b/>
          <w:lang w:eastAsia="en-GB"/>
        </w:rPr>
      </w:pPr>
    </w:p>
    <w:p w:rsidR="00853732" w:rsidRDefault="007D6BEE" w:rsidP="00853732">
      <w:pPr>
        <w:autoSpaceDE/>
        <w:autoSpaceDN/>
        <w:adjustRightInd/>
        <w:spacing w:after="0"/>
        <w:rPr>
          <w:rFonts w:cs="Arial"/>
          <w:lang w:eastAsia="en-GB"/>
        </w:rPr>
      </w:pPr>
      <w:r>
        <w:rPr>
          <w:rFonts w:cs="Arial"/>
          <w:lang w:eastAsia="en-GB"/>
        </w:rPr>
        <w:t xml:space="preserve">Table 2 </w:t>
      </w:r>
      <w:r>
        <w:rPr>
          <w:rFonts w:cs="Arial"/>
          <w:lang w:eastAsia="en-GB"/>
        </w:rPr>
        <w:t xml:space="preserve">presents the Quarter 1 forecast position </w:t>
      </w:r>
      <w:r>
        <w:rPr>
          <w:rFonts w:cs="Arial"/>
          <w:lang w:eastAsia="en-GB"/>
        </w:rPr>
        <w:t>for 2017/18 programme</w:t>
      </w:r>
      <w:r>
        <w:rPr>
          <w:rFonts w:cs="Arial"/>
          <w:lang w:eastAsia="en-GB"/>
        </w:rPr>
        <w:t xml:space="preserve"> showing the</w:t>
      </w:r>
      <w:r>
        <w:rPr>
          <w:rFonts w:cs="Arial"/>
          <w:lang w:eastAsia="en-GB"/>
        </w:rPr>
        <w:t xml:space="preserve"> projected 2017/18 outturn position, the variance against budget in value and percentage </w:t>
      </w:r>
      <w:r>
        <w:rPr>
          <w:rFonts w:cs="Arial"/>
          <w:lang w:eastAsia="en-GB"/>
        </w:rPr>
        <w:t xml:space="preserve">in addition to </w:t>
      </w:r>
      <w:r>
        <w:rPr>
          <w:rFonts w:cs="Arial"/>
          <w:lang w:eastAsia="en-GB"/>
        </w:rPr>
        <w:t xml:space="preserve">the </w:t>
      </w:r>
      <w:r>
        <w:rPr>
          <w:rFonts w:cs="Arial"/>
          <w:lang w:eastAsia="en-GB"/>
        </w:rPr>
        <w:t xml:space="preserve">expenditure to date as at the end of </w:t>
      </w:r>
      <w:r>
        <w:rPr>
          <w:rFonts w:cs="Arial"/>
          <w:lang w:eastAsia="en-GB"/>
        </w:rPr>
        <w:t>June 2017</w:t>
      </w:r>
      <w:r>
        <w:rPr>
          <w:rFonts w:cs="Arial"/>
          <w:lang w:eastAsia="en-GB"/>
        </w:rPr>
        <w:t xml:space="preserve"> (this is also shown as a </w:t>
      </w:r>
      <w:r>
        <w:rPr>
          <w:rFonts w:cs="Arial"/>
          <w:lang w:eastAsia="en-GB"/>
        </w:rPr>
        <w:t>va</w:t>
      </w:r>
      <w:r>
        <w:rPr>
          <w:rFonts w:cs="Arial"/>
          <w:lang w:eastAsia="en-GB"/>
        </w:rPr>
        <w:t>lue and percentage of budget to assess progr</w:t>
      </w:r>
      <w:r>
        <w:rPr>
          <w:rFonts w:cs="Arial"/>
          <w:lang w:eastAsia="en-GB"/>
        </w:rPr>
        <w:t xml:space="preserve">ess against the years programme). </w:t>
      </w:r>
      <w:r>
        <w:rPr>
          <w:rFonts w:cs="Arial"/>
          <w:lang w:eastAsia="en-GB"/>
        </w:rPr>
        <w:t xml:space="preserve"> </w:t>
      </w:r>
    </w:p>
    <w:p w:rsidR="00853732" w:rsidRDefault="007D6BEE" w:rsidP="00853732">
      <w:pPr>
        <w:autoSpaceDE/>
        <w:autoSpaceDN/>
        <w:adjustRightInd/>
        <w:spacing w:after="0"/>
        <w:rPr>
          <w:rFonts w:cs="Arial"/>
          <w:lang w:eastAsia="en-GB"/>
        </w:rPr>
      </w:pPr>
    </w:p>
    <w:p w:rsidR="00853732" w:rsidRDefault="007D6BEE" w:rsidP="00853732">
      <w:pPr>
        <w:autoSpaceDE/>
        <w:autoSpaceDN/>
        <w:adjustRightInd/>
        <w:spacing w:after="0"/>
        <w:rPr>
          <w:rFonts w:cs="Arial"/>
          <w:lang w:eastAsia="en-GB"/>
        </w:rPr>
      </w:pPr>
      <w:r>
        <w:rPr>
          <w:rFonts w:cs="Arial"/>
          <w:lang w:eastAsia="en-GB"/>
        </w:rPr>
        <w:t>At the end of June 2017 the 2017/18 programme of delivery is expected to spend £</w:t>
      </w:r>
      <w:r>
        <w:rPr>
          <w:rFonts w:cs="Arial"/>
          <w:lang w:eastAsia="en-GB"/>
        </w:rPr>
        <w:t>1.221</w:t>
      </w:r>
      <w:r>
        <w:rPr>
          <w:rFonts w:cs="Arial"/>
          <w:lang w:eastAsia="en-GB"/>
        </w:rPr>
        <w:t>m</w:t>
      </w:r>
      <w:r>
        <w:rPr>
          <w:rFonts w:cs="Arial"/>
          <w:lang w:eastAsia="en-GB"/>
        </w:rPr>
        <w:t xml:space="preserve"> less than the agreed profile. </w:t>
      </w:r>
      <w:r>
        <w:rPr>
          <w:rFonts w:cs="Arial"/>
          <w:lang w:eastAsia="en-GB"/>
        </w:rPr>
        <w:t xml:space="preserve">This variance is a combination of </w:t>
      </w:r>
      <w:r>
        <w:rPr>
          <w:rFonts w:cs="Arial"/>
          <w:lang w:eastAsia="en-GB"/>
        </w:rPr>
        <w:t>3</w:t>
      </w:r>
      <w:r>
        <w:rPr>
          <w:rFonts w:cs="Arial"/>
          <w:lang w:eastAsia="en-GB"/>
        </w:rPr>
        <w:t xml:space="preserve"> types of variance as s</w:t>
      </w:r>
      <w:r>
        <w:rPr>
          <w:rFonts w:cs="Arial"/>
          <w:lang w:eastAsia="en-GB"/>
        </w:rPr>
        <w:t xml:space="preserve">et out below, and </w:t>
      </w:r>
      <w:r>
        <w:rPr>
          <w:rFonts w:cs="Arial"/>
          <w:lang w:eastAsia="en-GB"/>
        </w:rPr>
        <w:t xml:space="preserve">further details can be seen in </w:t>
      </w:r>
      <w:r w:rsidRPr="00805FB1">
        <w:rPr>
          <w:rFonts w:cs="Arial"/>
          <w:lang w:eastAsia="en-GB"/>
        </w:rPr>
        <w:t>S</w:t>
      </w:r>
      <w:r w:rsidRPr="00805FB1">
        <w:rPr>
          <w:rFonts w:cs="Arial"/>
          <w:lang w:eastAsia="en-GB"/>
        </w:rPr>
        <w:t xml:space="preserve">ection </w:t>
      </w:r>
      <w:r>
        <w:rPr>
          <w:rFonts w:cs="Arial"/>
          <w:lang w:eastAsia="en-GB"/>
        </w:rPr>
        <w:t>3</w:t>
      </w:r>
      <w:r w:rsidRPr="00805FB1">
        <w:rPr>
          <w:rFonts w:cs="Arial"/>
          <w:lang w:eastAsia="en-GB"/>
        </w:rPr>
        <w:t xml:space="preserve"> of this report:</w:t>
      </w:r>
    </w:p>
    <w:p w:rsidR="00853732" w:rsidRDefault="007D6BEE" w:rsidP="00853732">
      <w:pPr>
        <w:autoSpaceDE/>
        <w:autoSpaceDN/>
        <w:adjustRightInd/>
        <w:spacing w:after="0"/>
        <w:rPr>
          <w:rFonts w:cs="Arial"/>
          <w:lang w:eastAsia="en-GB"/>
        </w:rPr>
      </w:pPr>
    </w:p>
    <w:p w:rsidR="00853732" w:rsidRDefault="007D6BEE" w:rsidP="00853732">
      <w:pPr>
        <w:pStyle w:val="ListParagraph"/>
        <w:numPr>
          <w:ilvl w:val="0"/>
          <w:numId w:val="29"/>
        </w:numPr>
        <w:autoSpaceDE/>
        <w:autoSpaceDN/>
        <w:adjustRightInd/>
        <w:spacing w:after="0"/>
        <w:rPr>
          <w:rFonts w:cs="Arial"/>
          <w:lang w:eastAsia="en-GB"/>
        </w:rPr>
      </w:pPr>
      <w:r>
        <w:rPr>
          <w:rFonts w:cs="Arial"/>
          <w:lang w:eastAsia="en-GB"/>
        </w:rPr>
        <w:t>p</w:t>
      </w:r>
      <w:r>
        <w:rPr>
          <w:rFonts w:cs="Arial"/>
          <w:lang w:eastAsia="en-GB"/>
        </w:rPr>
        <w:t>r</w:t>
      </w:r>
      <w:r>
        <w:rPr>
          <w:rFonts w:cs="Arial"/>
          <w:lang w:eastAsia="en-GB"/>
        </w:rPr>
        <w:t>ojects forecasting to overspend</w:t>
      </w:r>
    </w:p>
    <w:p w:rsidR="00853732" w:rsidRDefault="007D6BEE" w:rsidP="00853732">
      <w:pPr>
        <w:pStyle w:val="ListParagraph"/>
        <w:numPr>
          <w:ilvl w:val="0"/>
          <w:numId w:val="29"/>
        </w:numPr>
        <w:autoSpaceDE/>
        <w:autoSpaceDN/>
        <w:adjustRightInd/>
        <w:spacing w:after="0"/>
        <w:rPr>
          <w:rFonts w:cs="Arial"/>
          <w:lang w:eastAsia="en-GB"/>
        </w:rPr>
      </w:pPr>
      <w:r>
        <w:rPr>
          <w:rFonts w:cs="Arial"/>
          <w:lang w:eastAsia="en-GB"/>
        </w:rPr>
        <w:t>proj</w:t>
      </w:r>
      <w:r>
        <w:rPr>
          <w:rFonts w:cs="Arial"/>
          <w:lang w:eastAsia="en-GB"/>
        </w:rPr>
        <w:t>ects forecasting to underspend</w:t>
      </w:r>
    </w:p>
    <w:p w:rsidR="001E2142" w:rsidRDefault="007D6BEE" w:rsidP="001E2142">
      <w:pPr>
        <w:pStyle w:val="ListParagraph"/>
        <w:numPr>
          <w:ilvl w:val="0"/>
          <w:numId w:val="29"/>
        </w:numPr>
        <w:autoSpaceDE/>
        <w:autoSpaceDN/>
        <w:adjustRightInd/>
        <w:spacing w:after="0"/>
        <w:rPr>
          <w:rFonts w:cs="Arial"/>
          <w:lang w:eastAsia="en-GB"/>
        </w:rPr>
      </w:pPr>
      <w:r>
        <w:rPr>
          <w:rFonts w:cs="Arial"/>
          <w:lang w:eastAsia="en-GB"/>
        </w:rPr>
        <w:t>a</w:t>
      </w:r>
      <w:r>
        <w:rPr>
          <w:rFonts w:cs="Arial"/>
          <w:lang w:eastAsia="en-GB"/>
        </w:rPr>
        <w:t>s many projects are over a number of years, projects can spend less or more in year than the</w:t>
      </w:r>
      <w:r>
        <w:rPr>
          <w:rFonts w:cs="Arial"/>
          <w:lang w:eastAsia="en-GB"/>
        </w:rPr>
        <w:t>ir</w:t>
      </w:r>
      <w:r>
        <w:rPr>
          <w:rFonts w:cs="Arial"/>
          <w:lang w:eastAsia="en-GB"/>
        </w:rPr>
        <w:t xml:space="preserve"> anticipated spe</w:t>
      </w:r>
      <w:r>
        <w:rPr>
          <w:rFonts w:cs="Arial"/>
          <w:lang w:eastAsia="en-GB"/>
        </w:rPr>
        <w:t>nd profile</w:t>
      </w:r>
    </w:p>
    <w:p w:rsidR="001E2142" w:rsidRDefault="007D6BEE" w:rsidP="001A0E48">
      <w:pPr>
        <w:autoSpaceDE/>
        <w:autoSpaceDN/>
        <w:adjustRightInd/>
        <w:spacing w:after="0"/>
        <w:ind w:left="720"/>
        <w:rPr>
          <w:rFonts w:cs="Arial"/>
          <w:lang w:eastAsia="en-GB"/>
        </w:rPr>
      </w:pPr>
    </w:p>
    <w:p w:rsidR="001E2142" w:rsidRPr="001E2142" w:rsidRDefault="007D6BEE" w:rsidP="001A0E48">
      <w:pPr>
        <w:autoSpaceDE/>
        <w:autoSpaceDN/>
        <w:adjustRightInd/>
        <w:spacing w:after="0"/>
        <w:rPr>
          <w:rFonts w:cs="Arial"/>
          <w:lang w:eastAsia="en-GB"/>
        </w:rPr>
      </w:pPr>
      <w:r>
        <w:rPr>
          <w:rFonts w:cs="Arial"/>
          <w:lang w:eastAsia="en-GB"/>
        </w:rPr>
        <w:t>Where unallocated budgets are identified this does not necessarily indicate that the funds will not b</w:t>
      </w:r>
      <w:r>
        <w:rPr>
          <w:rFonts w:cs="Arial"/>
          <w:lang w:eastAsia="en-GB"/>
        </w:rPr>
        <w:t xml:space="preserve">e spent in year; rather </w:t>
      </w:r>
      <w:r>
        <w:rPr>
          <w:rFonts w:cs="Arial"/>
          <w:lang w:eastAsia="en-GB"/>
        </w:rPr>
        <w:t xml:space="preserve">they </w:t>
      </w:r>
      <w:r>
        <w:rPr>
          <w:rFonts w:cs="Arial"/>
          <w:lang w:eastAsia="en-GB"/>
        </w:rPr>
        <w:t>have not yet been programmed</w:t>
      </w:r>
      <w:r>
        <w:rPr>
          <w:rFonts w:cs="Arial"/>
          <w:lang w:eastAsia="en-GB"/>
        </w:rPr>
        <w:t xml:space="preserve"> as</w:t>
      </w:r>
      <w:r>
        <w:rPr>
          <w:rFonts w:cs="Arial"/>
          <w:lang w:eastAsia="en-GB"/>
        </w:rPr>
        <w:t xml:space="preserve"> a specific project.  It is normal for areas to have an element of unallocated/unpr</w:t>
      </w:r>
      <w:r>
        <w:rPr>
          <w:rFonts w:cs="Arial"/>
          <w:lang w:eastAsia="en-GB"/>
        </w:rPr>
        <w:t>ogrammed funds early in a financial year.</w:t>
      </w:r>
    </w:p>
    <w:p w:rsidR="00853732" w:rsidRDefault="007D6BEE" w:rsidP="00853732">
      <w:pPr>
        <w:autoSpaceDE/>
        <w:autoSpaceDN/>
        <w:adjustRightInd/>
        <w:spacing w:after="0"/>
        <w:rPr>
          <w:rFonts w:cs="Arial"/>
          <w:lang w:eastAsia="en-GB"/>
        </w:rPr>
      </w:pPr>
    </w:p>
    <w:p w:rsidR="00853732" w:rsidRPr="00A4407B" w:rsidRDefault="007D6BEE" w:rsidP="00853732">
      <w:pPr>
        <w:autoSpaceDE/>
        <w:autoSpaceDN/>
        <w:adjustRightInd/>
        <w:spacing w:after="0"/>
        <w:rPr>
          <w:rFonts w:cs="Arial"/>
          <w:lang w:eastAsia="en-GB"/>
        </w:rPr>
      </w:pPr>
      <w:r>
        <w:rPr>
          <w:rFonts w:cs="Arial"/>
          <w:lang w:eastAsia="en-GB"/>
        </w:rPr>
        <w:t xml:space="preserve">It </w:t>
      </w:r>
      <w:r>
        <w:rPr>
          <w:rFonts w:cs="Arial"/>
          <w:lang w:eastAsia="en-GB"/>
        </w:rPr>
        <w:t>should be noted that this is a Q</w:t>
      </w:r>
      <w:r>
        <w:rPr>
          <w:rFonts w:cs="Arial"/>
          <w:lang w:eastAsia="en-GB"/>
        </w:rPr>
        <w:t xml:space="preserve">uarter 1 forecast and further information and increased </w:t>
      </w:r>
      <w:r>
        <w:rPr>
          <w:rFonts w:cs="Arial"/>
          <w:lang w:eastAsia="en-GB"/>
        </w:rPr>
        <w:t>clarity will be forthcoming in Q</w:t>
      </w:r>
      <w:r>
        <w:rPr>
          <w:rFonts w:cs="Arial"/>
          <w:lang w:eastAsia="en-GB"/>
        </w:rPr>
        <w:t xml:space="preserve">uarter 2.  Individual risks are identified within </w:t>
      </w:r>
      <w:r>
        <w:rPr>
          <w:rFonts w:cs="Arial"/>
          <w:lang w:eastAsia="en-GB"/>
        </w:rPr>
        <w:t>S</w:t>
      </w:r>
      <w:r>
        <w:rPr>
          <w:rFonts w:cs="Arial"/>
          <w:lang w:eastAsia="en-GB"/>
        </w:rPr>
        <w:t xml:space="preserve">ection </w:t>
      </w:r>
      <w:r>
        <w:rPr>
          <w:rFonts w:cs="Arial"/>
          <w:lang w:eastAsia="en-GB"/>
        </w:rPr>
        <w:t>3</w:t>
      </w:r>
      <w:r>
        <w:rPr>
          <w:rFonts w:cs="Arial"/>
          <w:lang w:eastAsia="en-GB"/>
        </w:rPr>
        <w:t xml:space="preserve"> of this report.</w:t>
      </w:r>
    </w:p>
    <w:p w:rsidR="00A16492" w:rsidRDefault="007D6BEE" w:rsidP="00853732">
      <w:pPr>
        <w:autoSpaceDE/>
        <w:autoSpaceDN/>
        <w:adjustRightInd/>
        <w:spacing w:after="0"/>
        <w:rPr>
          <w:rFonts w:cs="Arial"/>
          <w:b/>
          <w:u w:val="single"/>
          <w:lang w:eastAsia="en-GB"/>
        </w:rPr>
      </w:pPr>
    </w:p>
    <w:p w:rsidR="00A16492" w:rsidRDefault="007D6BEE" w:rsidP="00853732">
      <w:pPr>
        <w:autoSpaceDE/>
        <w:autoSpaceDN/>
        <w:adjustRightInd/>
        <w:spacing w:after="0"/>
        <w:rPr>
          <w:rFonts w:cs="Arial"/>
          <w:b/>
          <w:u w:val="single"/>
          <w:lang w:eastAsia="en-GB"/>
        </w:rPr>
      </w:pPr>
    </w:p>
    <w:p w:rsidR="003D23A2" w:rsidRDefault="007D6BEE" w:rsidP="00853732">
      <w:pPr>
        <w:autoSpaceDE/>
        <w:autoSpaceDN/>
        <w:adjustRightInd/>
        <w:spacing w:after="0"/>
        <w:rPr>
          <w:rFonts w:cs="Arial"/>
          <w:b/>
          <w:u w:val="single"/>
          <w:lang w:eastAsia="en-GB"/>
        </w:rPr>
      </w:pPr>
    </w:p>
    <w:p w:rsidR="003D23A2" w:rsidRDefault="007D6BEE" w:rsidP="00853732">
      <w:pPr>
        <w:autoSpaceDE/>
        <w:autoSpaceDN/>
        <w:adjustRightInd/>
        <w:spacing w:after="0"/>
        <w:rPr>
          <w:rFonts w:cs="Arial"/>
          <w:b/>
          <w:u w:val="single"/>
          <w:lang w:eastAsia="en-GB"/>
        </w:rPr>
      </w:pPr>
    </w:p>
    <w:p w:rsidR="003D23A2" w:rsidRDefault="007D6BEE" w:rsidP="00853732">
      <w:pPr>
        <w:autoSpaceDE/>
        <w:autoSpaceDN/>
        <w:adjustRightInd/>
        <w:spacing w:after="0"/>
        <w:rPr>
          <w:rFonts w:cs="Arial"/>
          <w:b/>
          <w:u w:val="single"/>
          <w:lang w:eastAsia="en-GB"/>
        </w:rPr>
      </w:pPr>
    </w:p>
    <w:p w:rsidR="003D23A2" w:rsidRDefault="007D6BEE" w:rsidP="00853732">
      <w:pPr>
        <w:autoSpaceDE/>
        <w:autoSpaceDN/>
        <w:adjustRightInd/>
        <w:spacing w:after="0"/>
        <w:rPr>
          <w:rFonts w:cs="Arial"/>
          <w:b/>
          <w:u w:val="single"/>
          <w:lang w:eastAsia="en-GB"/>
        </w:rPr>
      </w:pPr>
    </w:p>
    <w:p w:rsidR="003D23A2" w:rsidRDefault="007D6BEE" w:rsidP="00853732">
      <w:pPr>
        <w:autoSpaceDE/>
        <w:autoSpaceDN/>
        <w:adjustRightInd/>
        <w:spacing w:after="0"/>
        <w:rPr>
          <w:rFonts w:cs="Arial"/>
          <w:b/>
          <w:u w:val="single"/>
          <w:lang w:eastAsia="en-GB"/>
        </w:rPr>
      </w:pPr>
    </w:p>
    <w:p w:rsidR="003D23A2" w:rsidRDefault="007D6BEE" w:rsidP="00853732">
      <w:pPr>
        <w:autoSpaceDE/>
        <w:autoSpaceDN/>
        <w:adjustRightInd/>
        <w:spacing w:after="0"/>
        <w:rPr>
          <w:rFonts w:cs="Arial"/>
          <w:b/>
          <w:u w:val="single"/>
          <w:lang w:eastAsia="en-GB"/>
        </w:rPr>
      </w:pPr>
    </w:p>
    <w:p w:rsidR="003D23A2" w:rsidRDefault="007D6BEE" w:rsidP="00853732">
      <w:pPr>
        <w:autoSpaceDE/>
        <w:autoSpaceDN/>
        <w:adjustRightInd/>
        <w:spacing w:after="0"/>
        <w:rPr>
          <w:rFonts w:cs="Arial"/>
          <w:b/>
          <w:u w:val="single"/>
          <w:lang w:eastAsia="en-GB"/>
        </w:rPr>
      </w:pPr>
    </w:p>
    <w:p w:rsidR="003D23A2" w:rsidRDefault="007D6BEE" w:rsidP="00853732">
      <w:pPr>
        <w:autoSpaceDE/>
        <w:autoSpaceDN/>
        <w:adjustRightInd/>
        <w:spacing w:after="0"/>
        <w:rPr>
          <w:rFonts w:cs="Arial"/>
          <w:b/>
          <w:u w:val="single"/>
          <w:lang w:eastAsia="en-GB"/>
        </w:rPr>
      </w:pPr>
    </w:p>
    <w:p w:rsidR="003D23A2" w:rsidRDefault="007D6BEE" w:rsidP="00853732">
      <w:pPr>
        <w:autoSpaceDE/>
        <w:autoSpaceDN/>
        <w:adjustRightInd/>
        <w:spacing w:after="0"/>
        <w:rPr>
          <w:rFonts w:cs="Arial"/>
          <w:b/>
          <w:u w:val="single"/>
          <w:lang w:eastAsia="en-GB"/>
        </w:rPr>
      </w:pPr>
    </w:p>
    <w:p w:rsidR="003D23A2" w:rsidRDefault="007D6BEE" w:rsidP="00853732">
      <w:pPr>
        <w:autoSpaceDE/>
        <w:autoSpaceDN/>
        <w:adjustRightInd/>
        <w:spacing w:after="0"/>
        <w:rPr>
          <w:rFonts w:cs="Arial"/>
          <w:b/>
          <w:u w:val="single"/>
          <w:lang w:eastAsia="en-GB"/>
        </w:rPr>
      </w:pPr>
    </w:p>
    <w:p w:rsidR="003D23A2" w:rsidRDefault="007D6BEE" w:rsidP="00853732">
      <w:pPr>
        <w:autoSpaceDE/>
        <w:autoSpaceDN/>
        <w:adjustRightInd/>
        <w:spacing w:after="0"/>
        <w:rPr>
          <w:rFonts w:cs="Arial"/>
          <w:b/>
          <w:u w:val="single"/>
          <w:lang w:eastAsia="en-GB"/>
        </w:rPr>
      </w:pPr>
    </w:p>
    <w:p w:rsidR="003D23A2" w:rsidRDefault="007D6BEE" w:rsidP="00853732">
      <w:pPr>
        <w:autoSpaceDE/>
        <w:autoSpaceDN/>
        <w:adjustRightInd/>
        <w:spacing w:after="0"/>
        <w:rPr>
          <w:rFonts w:cs="Arial"/>
          <w:b/>
          <w:u w:val="single"/>
          <w:lang w:eastAsia="en-GB"/>
        </w:rPr>
      </w:pPr>
    </w:p>
    <w:p w:rsidR="003D23A2" w:rsidRDefault="007D6BEE" w:rsidP="00853732">
      <w:pPr>
        <w:autoSpaceDE/>
        <w:autoSpaceDN/>
        <w:adjustRightInd/>
        <w:spacing w:after="0"/>
        <w:rPr>
          <w:rFonts w:cs="Arial"/>
          <w:b/>
          <w:u w:val="single"/>
          <w:lang w:eastAsia="en-GB"/>
        </w:rPr>
      </w:pPr>
    </w:p>
    <w:p w:rsidR="003D23A2" w:rsidRDefault="007D6BEE" w:rsidP="00853732">
      <w:pPr>
        <w:autoSpaceDE/>
        <w:autoSpaceDN/>
        <w:adjustRightInd/>
        <w:spacing w:after="0"/>
        <w:rPr>
          <w:rFonts w:cs="Arial"/>
          <w:b/>
          <w:u w:val="single"/>
          <w:lang w:eastAsia="en-GB"/>
        </w:rPr>
      </w:pPr>
    </w:p>
    <w:p w:rsidR="003D23A2" w:rsidRDefault="007D6BEE" w:rsidP="00853732">
      <w:pPr>
        <w:autoSpaceDE/>
        <w:autoSpaceDN/>
        <w:adjustRightInd/>
        <w:spacing w:after="0"/>
        <w:rPr>
          <w:rFonts w:cs="Arial"/>
          <w:b/>
          <w:u w:val="single"/>
          <w:lang w:eastAsia="en-GB"/>
        </w:rPr>
      </w:pPr>
    </w:p>
    <w:p w:rsidR="003D23A2" w:rsidRDefault="007D6BEE" w:rsidP="00853732">
      <w:pPr>
        <w:autoSpaceDE/>
        <w:autoSpaceDN/>
        <w:adjustRightInd/>
        <w:spacing w:after="0"/>
        <w:rPr>
          <w:rFonts w:cs="Arial"/>
          <w:b/>
          <w:u w:val="single"/>
          <w:lang w:eastAsia="en-GB"/>
        </w:rPr>
      </w:pPr>
    </w:p>
    <w:p w:rsidR="003D23A2" w:rsidRDefault="007D6BEE" w:rsidP="00853732">
      <w:pPr>
        <w:autoSpaceDE/>
        <w:autoSpaceDN/>
        <w:adjustRightInd/>
        <w:spacing w:after="0"/>
        <w:rPr>
          <w:rFonts w:cs="Arial"/>
          <w:b/>
          <w:u w:val="single"/>
          <w:lang w:eastAsia="en-GB"/>
        </w:rPr>
      </w:pPr>
    </w:p>
    <w:p w:rsidR="003D23A2" w:rsidRDefault="007D6BEE" w:rsidP="00853732">
      <w:pPr>
        <w:autoSpaceDE/>
        <w:autoSpaceDN/>
        <w:adjustRightInd/>
        <w:spacing w:after="0"/>
        <w:rPr>
          <w:rFonts w:cs="Arial"/>
          <w:b/>
          <w:u w:val="single"/>
          <w:lang w:eastAsia="en-GB"/>
        </w:rPr>
      </w:pPr>
    </w:p>
    <w:p w:rsidR="003D23A2" w:rsidRDefault="007D6BEE" w:rsidP="00853732">
      <w:pPr>
        <w:autoSpaceDE/>
        <w:autoSpaceDN/>
        <w:adjustRightInd/>
        <w:spacing w:after="0"/>
        <w:rPr>
          <w:rFonts w:cs="Arial"/>
          <w:b/>
          <w:u w:val="single"/>
          <w:lang w:eastAsia="en-GB"/>
        </w:rPr>
      </w:pPr>
    </w:p>
    <w:p w:rsidR="003D23A2" w:rsidRDefault="007D6BEE" w:rsidP="00853732">
      <w:pPr>
        <w:autoSpaceDE/>
        <w:autoSpaceDN/>
        <w:adjustRightInd/>
        <w:spacing w:after="0"/>
        <w:rPr>
          <w:rFonts w:cs="Arial"/>
          <w:b/>
          <w:u w:val="single"/>
          <w:lang w:eastAsia="en-GB"/>
        </w:rPr>
      </w:pPr>
    </w:p>
    <w:p w:rsidR="003D23A2" w:rsidRDefault="007D6BEE" w:rsidP="00853732">
      <w:pPr>
        <w:autoSpaceDE/>
        <w:autoSpaceDN/>
        <w:adjustRightInd/>
        <w:spacing w:after="0"/>
        <w:rPr>
          <w:rFonts w:cs="Arial"/>
          <w:b/>
          <w:u w:val="single"/>
          <w:lang w:eastAsia="en-GB"/>
        </w:rPr>
      </w:pPr>
    </w:p>
    <w:p w:rsidR="003D23A2" w:rsidRDefault="007D6BEE" w:rsidP="00853732">
      <w:pPr>
        <w:autoSpaceDE/>
        <w:autoSpaceDN/>
        <w:adjustRightInd/>
        <w:spacing w:after="0"/>
        <w:rPr>
          <w:rFonts w:cs="Arial"/>
          <w:b/>
          <w:u w:val="single"/>
          <w:lang w:eastAsia="en-GB"/>
        </w:rPr>
      </w:pPr>
    </w:p>
    <w:p w:rsidR="003D23A2" w:rsidRDefault="007D6BEE" w:rsidP="00853732">
      <w:pPr>
        <w:autoSpaceDE/>
        <w:autoSpaceDN/>
        <w:adjustRightInd/>
        <w:spacing w:after="0"/>
        <w:rPr>
          <w:rFonts w:cs="Arial"/>
          <w:b/>
          <w:u w:val="single"/>
          <w:lang w:eastAsia="en-GB"/>
        </w:rPr>
      </w:pPr>
    </w:p>
    <w:p w:rsidR="00AD081B" w:rsidRPr="00F22DF4" w:rsidRDefault="007D6BEE" w:rsidP="00853732">
      <w:pPr>
        <w:autoSpaceDE/>
        <w:autoSpaceDN/>
        <w:adjustRightInd/>
        <w:spacing w:after="0"/>
        <w:rPr>
          <w:rFonts w:cs="Arial"/>
          <w:b/>
          <w:u w:val="single"/>
          <w:lang w:eastAsia="en-GB"/>
        </w:rPr>
      </w:pPr>
      <w:r w:rsidRPr="00F22DF4">
        <w:rPr>
          <w:rFonts w:cs="Arial"/>
          <w:b/>
          <w:u w:val="single"/>
          <w:lang w:eastAsia="en-GB"/>
        </w:rPr>
        <w:lastRenderedPageBreak/>
        <w:t>Table 2:</w:t>
      </w:r>
      <w:r>
        <w:rPr>
          <w:rFonts w:cs="Arial"/>
          <w:b/>
          <w:u w:val="single"/>
          <w:lang w:eastAsia="en-GB"/>
        </w:rPr>
        <w:t xml:space="preserve">  Quarter 1 Full Year Forecast</w:t>
      </w:r>
    </w:p>
    <w:tbl>
      <w:tblPr>
        <w:tblStyle w:val="TableGrid"/>
        <w:tblpPr w:leftFromText="180" w:rightFromText="180" w:vertAnchor="text" w:horzAnchor="margin" w:tblpXSpec="center" w:tblpY="163"/>
        <w:tblW w:w="10060" w:type="dxa"/>
        <w:tblLayout w:type="fixed"/>
        <w:tblLook w:val="04A0" w:firstRow="1" w:lastRow="0" w:firstColumn="1" w:lastColumn="0" w:noHBand="0" w:noVBand="1"/>
      </w:tblPr>
      <w:tblGrid>
        <w:gridCol w:w="2160"/>
        <w:gridCol w:w="1663"/>
        <w:gridCol w:w="1275"/>
        <w:gridCol w:w="1276"/>
        <w:gridCol w:w="1334"/>
        <w:gridCol w:w="1227"/>
        <w:gridCol w:w="1125"/>
      </w:tblGrid>
      <w:tr w:rsidR="008F3A16" w:rsidTr="001A0E48">
        <w:trPr>
          <w:trHeight w:val="345"/>
        </w:trPr>
        <w:tc>
          <w:tcPr>
            <w:tcW w:w="2160" w:type="dxa"/>
            <w:vMerge w:val="restart"/>
            <w:noWrap/>
            <w:vAlign w:val="center"/>
            <w:hideMark/>
          </w:tcPr>
          <w:p w:rsidR="00AD081B" w:rsidRPr="0066584D" w:rsidRDefault="007D6BEE" w:rsidP="00F22DF4">
            <w:pPr>
              <w:autoSpaceDE/>
              <w:autoSpaceDN/>
              <w:adjustRightInd/>
              <w:spacing w:after="0"/>
              <w:jc w:val="center"/>
              <w:rPr>
                <w:rFonts w:cs="Arial"/>
                <w:b/>
                <w:bCs/>
                <w:lang w:eastAsia="en-GB"/>
              </w:rPr>
            </w:pPr>
            <w:r w:rsidRPr="00646B7A">
              <w:rPr>
                <w:rFonts w:cs="Arial"/>
                <w:b/>
                <w:bCs/>
                <w:lang w:eastAsia="en-GB"/>
              </w:rPr>
              <w:t>Service Area</w:t>
            </w:r>
          </w:p>
        </w:tc>
        <w:tc>
          <w:tcPr>
            <w:tcW w:w="1663" w:type="dxa"/>
            <w:vMerge w:val="restart"/>
            <w:hideMark/>
          </w:tcPr>
          <w:p w:rsidR="00AD081B" w:rsidRPr="0066584D" w:rsidRDefault="007D6BEE" w:rsidP="00AD081B">
            <w:pPr>
              <w:autoSpaceDE/>
              <w:autoSpaceDN/>
              <w:adjustRightInd/>
              <w:spacing w:after="0"/>
              <w:jc w:val="center"/>
              <w:rPr>
                <w:rFonts w:cs="Arial"/>
                <w:b/>
                <w:bCs/>
                <w:lang w:eastAsia="en-GB"/>
              </w:rPr>
            </w:pPr>
            <w:r>
              <w:rPr>
                <w:rFonts w:cs="Arial"/>
                <w:b/>
                <w:bCs/>
                <w:lang w:eastAsia="en-GB"/>
              </w:rPr>
              <w:t>2017/18 Programme of Delivery</w:t>
            </w:r>
          </w:p>
        </w:tc>
        <w:tc>
          <w:tcPr>
            <w:tcW w:w="1275" w:type="dxa"/>
            <w:vMerge w:val="restart"/>
            <w:hideMark/>
          </w:tcPr>
          <w:p w:rsidR="00AD081B" w:rsidRPr="0066584D" w:rsidRDefault="007D6BEE" w:rsidP="00AD081B">
            <w:pPr>
              <w:autoSpaceDE/>
              <w:autoSpaceDN/>
              <w:adjustRightInd/>
              <w:spacing w:after="0"/>
              <w:jc w:val="center"/>
              <w:rPr>
                <w:rFonts w:cs="Arial"/>
                <w:b/>
                <w:bCs/>
                <w:lang w:eastAsia="en-GB"/>
              </w:rPr>
            </w:pPr>
            <w:r>
              <w:rPr>
                <w:rFonts w:cs="Arial"/>
                <w:b/>
                <w:bCs/>
                <w:lang w:eastAsia="en-GB"/>
              </w:rPr>
              <w:t>2017/18  Full Y</w:t>
            </w:r>
            <w:r w:rsidRPr="0066584D">
              <w:rPr>
                <w:rFonts w:cs="Arial"/>
                <w:b/>
                <w:bCs/>
                <w:lang w:eastAsia="en-GB"/>
              </w:rPr>
              <w:t xml:space="preserve">ear Forecast </w:t>
            </w:r>
            <w:r>
              <w:rPr>
                <w:rFonts w:cs="Arial"/>
                <w:b/>
                <w:bCs/>
                <w:lang w:eastAsia="en-GB"/>
              </w:rPr>
              <w:t>O</w:t>
            </w:r>
            <w:r>
              <w:rPr>
                <w:rFonts w:cs="Arial"/>
                <w:b/>
                <w:bCs/>
                <w:lang w:eastAsia="en-GB"/>
              </w:rPr>
              <w:t>ut</w:t>
            </w:r>
            <w:r w:rsidRPr="0066584D">
              <w:rPr>
                <w:rFonts w:cs="Arial"/>
                <w:b/>
                <w:bCs/>
                <w:lang w:eastAsia="en-GB"/>
              </w:rPr>
              <w:t>turn</w:t>
            </w:r>
          </w:p>
        </w:tc>
        <w:tc>
          <w:tcPr>
            <w:tcW w:w="1276" w:type="dxa"/>
            <w:vMerge w:val="restart"/>
          </w:tcPr>
          <w:p w:rsidR="00AD081B" w:rsidRPr="0066584D" w:rsidRDefault="007D6BEE" w:rsidP="00AD081B">
            <w:pPr>
              <w:spacing w:after="0"/>
              <w:jc w:val="center"/>
              <w:rPr>
                <w:rFonts w:cs="Arial"/>
                <w:b/>
                <w:bCs/>
                <w:lang w:eastAsia="en-GB"/>
              </w:rPr>
            </w:pPr>
            <w:r>
              <w:rPr>
                <w:rFonts w:cs="Arial"/>
                <w:b/>
                <w:bCs/>
                <w:lang w:eastAsia="en-GB"/>
              </w:rPr>
              <w:t>Variance</w:t>
            </w:r>
          </w:p>
        </w:tc>
        <w:tc>
          <w:tcPr>
            <w:tcW w:w="1334" w:type="dxa"/>
            <w:vMerge w:val="restart"/>
            <w:hideMark/>
          </w:tcPr>
          <w:p w:rsidR="00AD081B" w:rsidRPr="0066584D" w:rsidRDefault="007D6BEE" w:rsidP="00F22DF4">
            <w:pPr>
              <w:autoSpaceDE/>
              <w:autoSpaceDN/>
              <w:adjustRightInd/>
              <w:spacing w:after="0"/>
              <w:jc w:val="center"/>
              <w:rPr>
                <w:rFonts w:cs="Arial"/>
                <w:b/>
                <w:bCs/>
                <w:lang w:eastAsia="en-GB"/>
              </w:rPr>
            </w:pPr>
            <w:r>
              <w:rPr>
                <w:rFonts w:cs="Arial"/>
                <w:b/>
                <w:bCs/>
                <w:lang w:eastAsia="en-GB"/>
              </w:rPr>
              <w:t>% Variance</w:t>
            </w:r>
          </w:p>
        </w:tc>
        <w:tc>
          <w:tcPr>
            <w:tcW w:w="2352" w:type="dxa"/>
            <w:gridSpan w:val="2"/>
            <w:hideMark/>
          </w:tcPr>
          <w:p w:rsidR="00AD081B" w:rsidRPr="0066584D" w:rsidRDefault="007D6BEE" w:rsidP="00AD081B">
            <w:pPr>
              <w:autoSpaceDE/>
              <w:autoSpaceDN/>
              <w:adjustRightInd/>
              <w:spacing w:after="0"/>
              <w:jc w:val="center"/>
              <w:rPr>
                <w:rFonts w:cs="Arial"/>
                <w:b/>
                <w:bCs/>
                <w:lang w:eastAsia="en-GB"/>
              </w:rPr>
            </w:pPr>
            <w:r>
              <w:rPr>
                <w:rFonts w:cs="Arial"/>
                <w:b/>
                <w:bCs/>
                <w:lang w:eastAsia="en-GB"/>
              </w:rPr>
              <w:t>Quarter 1 Actuals</w:t>
            </w:r>
          </w:p>
        </w:tc>
      </w:tr>
      <w:tr w:rsidR="008F3A16" w:rsidTr="001A0E48">
        <w:trPr>
          <w:trHeight w:val="703"/>
        </w:trPr>
        <w:tc>
          <w:tcPr>
            <w:tcW w:w="2160" w:type="dxa"/>
            <w:vMerge/>
            <w:hideMark/>
          </w:tcPr>
          <w:p w:rsidR="00AD081B" w:rsidRPr="0066584D" w:rsidRDefault="007D6BEE" w:rsidP="00AD081B">
            <w:pPr>
              <w:autoSpaceDE/>
              <w:autoSpaceDN/>
              <w:adjustRightInd/>
              <w:spacing w:after="0"/>
              <w:rPr>
                <w:rFonts w:cs="Arial"/>
                <w:b/>
                <w:bCs/>
                <w:lang w:eastAsia="en-GB"/>
              </w:rPr>
            </w:pPr>
          </w:p>
        </w:tc>
        <w:tc>
          <w:tcPr>
            <w:tcW w:w="1663" w:type="dxa"/>
            <w:vMerge/>
            <w:hideMark/>
          </w:tcPr>
          <w:p w:rsidR="00AD081B" w:rsidRPr="0066584D" w:rsidRDefault="007D6BEE" w:rsidP="00AD081B">
            <w:pPr>
              <w:autoSpaceDE/>
              <w:autoSpaceDN/>
              <w:adjustRightInd/>
              <w:spacing w:after="0"/>
              <w:jc w:val="center"/>
              <w:rPr>
                <w:rFonts w:cs="Arial"/>
                <w:b/>
                <w:bCs/>
                <w:lang w:eastAsia="en-GB"/>
              </w:rPr>
            </w:pPr>
          </w:p>
        </w:tc>
        <w:tc>
          <w:tcPr>
            <w:tcW w:w="1275" w:type="dxa"/>
            <w:vMerge/>
            <w:hideMark/>
          </w:tcPr>
          <w:p w:rsidR="00AD081B" w:rsidRPr="0066584D" w:rsidRDefault="007D6BEE" w:rsidP="00AD081B">
            <w:pPr>
              <w:autoSpaceDE/>
              <w:autoSpaceDN/>
              <w:adjustRightInd/>
              <w:spacing w:after="0"/>
              <w:jc w:val="center"/>
              <w:rPr>
                <w:rFonts w:cs="Arial"/>
                <w:b/>
                <w:bCs/>
                <w:lang w:eastAsia="en-GB"/>
              </w:rPr>
            </w:pPr>
          </w:p>
        </w:tc>
        <w:tc>
          <w:tcPr>
            <w:tcW w:w="1276" w:type="dxa"/>
            <w:vMerge/>
            <w:hideMark/>
          </w:tcPr>
          <w:p w:rsidR="00AD081B" w:rsidRPr="0066584D" w:rsidRDefault="007D6BEE" w:rsidP="00AD081B">
            <w:pPr>
              <w:autoSpaceDE/>
              <w:autoSpaceDN/>
              <w:adjustRightInd/>
              <w:spacing w:after="0"/>
              <w:jc w:val="center"/>
              <w:rPr>
                <w:rFonts w:cs="Arial"/>
                <w:b/>
                <w:bCs/>
                <w:lang w:eastAsia="en-GB"/>
              </w:rPr>
            </w:pPr>
          </w:p>
        </w:tc>
        <w:tc>
          <w:tcPr>
            <w:tcW w:w="1334" w:type="dxa"/>
            <w:vMerge/>
            <w:hideMark/>
          </w:tcPr>
          <w:p w:rsidR="00AD081B" w:rsidRPr="0066584D" w:rsidRDefault="007D6BEE" w:rsidP="00AD081B">
            <w:pPr>
              <w:autoSpaceDE/>
              <w:autoSpaceDN/>
              <w:adjustRightInd/>
              <w:spacing w:after="0"/>
              <w:jc w:val="center"/>
              <w:rPr>
                <w:rFonts w:cs="Arial"/>
                <w:b/>
                <w:bCs/>
                <w:lang w:eastAsia="en-GB"/>
              </w:rPr>
            </w:pPr>
          </w:p>
        </w:tc>
        <w:tc>
          <w:tcPr>
            <w:tcW w:w="1227" w:type="dxa"/>
            <w:hideMark/>
          </w:tcPr>
          <w:p w:rsidR="00AD081B" w:rsidRPr="0066584D" w:rsidRDefault="007D6BEE" w:rsidP="00AD081B">
            <w:pPr>
              <w:autoSpaceDE/>
              <w:autoSpaceDN/>
              <w:adjustRightInd/>
              <w:spacing w:after="0"/>
              <w:jc w:val="center"/>
              <w:rPr>
                <w:rFonts w:cs="Arial"/>
                <w:b/>
                <w:bCs/>
                <w:lang w:eastAsia="en-GB"/>
              </w:rPr>
            </w:pPr>
            <w:r>
              <w:rPr>
                <w:rFonts w:cs="Arial"/>
                <w:b/>
                <w:bCs/>
                <w:lang w:eastAsia="en-GB"/>
              </w:rPr>
              <w:t>2017/18</w:t>
            </w:r>
            <w:r w:rsidRPr="0066584D">
              <w:rPr>
                <w:rFonts w:cs="Arial"/>
                <w:b/>
                <w:bCs/>
                <w:lang w:eastAsia="en-GB"/>
              </w:rPr>
              <w:t xml:space="preserve"> spend at Jun</w:t>
            </w:r>
            <w:r>
              <w:rPr>
                <w:rFonts w:cs="Arial"/>
                <w:b/>
                <w:bCs/>
                <w:lang w:eastAsia="en-GB"/>
              </w:rPr>
              <w:t>e</w:t>
            </w:r>
            <w:r w:rsidRPr="0066584D">
              <w:rPr>
                <w:rFonts w:cs="Arial"/>
                <w:b/>
                <w:bCs/>
                <w:lang w:eastAsia="en-GB"/>
              </w:rPr>
              <w:t xml:space="preserve"> </w:t>
            </w:r>
            <w:r>
              <w:rPr>
                <w:rFonts w:cs="Arial"/>
                <w:b/>
                <w:bCs/>
                <w:lang w:eastAsia="en-GB"/>
              </w:rPr>
              <w:t>20</w:t>
            </w:r>
            <w:r w:rsidRPr="0066584D">
              <w:rPr>
                <w:rFonts w:cs="Arial"/>
                <w:b/>
                <w:bCs/>
                <w:lang w:eastAsia="en-GB"/>
              </w:rPr>
              <w:t>17</w:t>
            </w:r>
          </w:p>
        </w:tc>
        <w:tc>
          <w:tcPr>
            <w:tcW w:w="1125" w:type="dxa"/>
            <w:hideMark/>
          </w:tcPr>
          <w:p w:rsidR="00AD081B" w:rsidRPr="0066584D" w:rsidRDefault="007D6BEE" w:rsidP="00AD081B">
            <w:pPr>
              <w:autoSpaceDE/>
              <w:autoSpaceDN/>
              <w:adjustRightInd/>
              <w:spacing w:after="0"/>
              <w:jc w:val="center"/>
              <w:rPr>
                <w:rFonts w:cs="Arial"/>
                <w:b/>
                <w:bCs/>
                <w:lang w:eastAsia="en-GB"/>
              </w:rPr>
            </w:pPr>
            <w:r w:rsidRPr="0066584D">
              <w:rPr>
                <w:rFonts w:cs="Arial"/>
                <w:b/>
                <w:bCs/>
                <w:lang w:eastAsia="en-GB"/>
              </w:rPr>
              <w:t>% of budget spent at Jun</w:t>
            </w:r>
            <w:r>
              <w:rPr>
                <w:rFonts w:cs="Arial"/>
                <w:b/>
                <w:bCs/>
                <w:lang w:eastAsia="en-GB"/>
              </w:rPr>
              <w:t>e</w:t>
            </w:r>
            <w:r w:rsidRPr="0066584D">
              <w:rPr>
                <w:rFonts w:cs="Arial"/>
                <w:b/>
                <w:bCs/>
                <w:lang w:eastAsia="en-GB"/>
              </w:rPr>
              <w:t xml:space="preserve"> </w:t>
            </w:r>
            <w:r>
              <w:rPr>
                <w:rFonts w:cs="Arial"/>
                <w:b/>
                <w:bCs/>
                <w:lang w:eastAsia="en-GB"/>
              </w:rPr>
              <w:t>20</w:t>
            </w:r>
            <w:r w:rsidRPr="0066584D">
              <w:rPr>
                <w:rFonts w:cs="Arial"/>
                <w:b/>
                <w:bCs/>
                <w:lang w:eastAsia="en-GB"/>
              </w:rPr>
              <w:t>17</w:t>
            </w:r>
          </w:p>
        </w:tc>
      </w:tr>
      <w:tr w:rsidR="008F3A16" w:rsidTr="001A0E48">
        <w:trPr>
          <w:trHeight w:val="241"/>
        </w:trPr>
        <w:tc>
          <w:tcPr>
            <w:tcW w:w="2160" w:type="dxa"/>
            <w:vMerge/>
            <w:hideMark/>
          </w:tcPr>
          <w:p w:rsidR="00AD081B" w:rsidRPr="0066584D" w:rsidRDefault="007D6BEE" w:rsidP="00AD081B">
            <w:pPr>
              <w:autoSpaceDE/>
              <w:autoSpaceDN/>
              <w:adjustRightInd/>
              <w:spacing w:after="0"/>
              <w:rPr>
                <w:rFonts w:cs="Arial"/>
                <w:b/>
                <w:bCs/>
                <w:lang w:eastAsia="en-GB"/>
              </w:rPr>
            </w:pPr>
          </w:p>
        </w:tc>
        <w:tc>
          <w:tcPr>
            <w:tcW w:w="1663" w:type="dxa"/>
            <w:noWrap/>
            <w:hideMark/>
          </w:tcPr>
          <w:p w:rsidR="00AD081B" w:rsidRPr="0066584D" w:rsidRDefault="007D6BEE" w:rsidP="00AD081B">
            <w:pPr>
              <w:autoSpaceDE/>
              <w:autoSpaceDN/>
              <w:adjustRightInd/>
              <w:spacing w:after="0"/>
              <w:jc w:val="center"/>
              <w:rPr>
                <w:rFonts w:cs="Arial"/>
                <w:b/>
                <w:bCs/>
                <w:lang w:eastAsia="en-GB"/>
              </w:rPr>
            </w:pPr>
            <w:r w:rsidRPr="0066584D">
              <w:rPr>
                <w:rFonts w:cs="Arial"/>
                <w:b/>
                <w:bCs/>
                <w:lang w:eastAsia="en-GB"/>
              </w:rPr>
              <w:t>£m</w:t>
            </w:r>
          </w:p>
        </w:tc>
        <w:tc>
          <w:tcPr>
            <w:tcW w:w="1275" w:type="dxa"/>
            <w:noWrap/>
            <w:hideMark/>
          </w:tcPr>
          <w:p w:rsidR="00AD081B" w:rsidRPr="0066584D" w:rsidRDefault="007D6BEE" w:rsidP="00AD081B">
            <w:pPr>
              <w:autoSpaceDE/>
              <w:autoSpaceDN/>
              <w:adjustRightInd/>
              <w:spacing w:after="0"/>
              <w:jc w:val="center"/>
              <w:rPr>
                <w:rFonts w:cs="Arial"/>
                <w:b/>
                <w:bCs/>
                <w:lang w:eastAsia="en-GB"/>
              </w:rPr>
            </w:pPr>
            <w:r w:rsidRPr="0066584D">
              <w:rPr>
                <w:rFonts w:cs="Arial"/>
                <w:b/>
                <w:bCs/>
                <w:lang w:eastAsia="en-GB"/>
              </w:rPr>
              <w:t>£m</w:t>
            </w:r>
          </w:p>
        </w:tc>
        <w:tc>
          <w:tcPr>
            <w:tcW w:w="1276" w:type="dxa"/>
            <w:noWrap/>
            <w:hideMark/>
          </w:tcPr>
          <w:p w:rsidR="00AD081B" w:rsidRPr="0066584D" w:rsidRDefault="007D6BEE" w:rsidP="00AD081B">
            <w:pPr>
              <w:autoSpaceDE/>
              <w:autoSpaceDN/>
              <w:adjustRightInd/>
              <w:spacing w:after="0"/>
              <w:jc w:val="center"/>
              <w:rPr>
                <w:rFonts w:cs="Arial"/>
                <w:b/>
                <w:bCs/>
                <w:lang w:eastAsia="en-GB"/>
              </w:rPr>
            </w:pPr>
            <w:r w:rsidRPr="0066584D">
              <w:rPr>
                <w:rFonts w:cs="Arial"/>
                <w:b/>
                <w:bCs/>
                <w:lang w:eastAsia="en-GB"/>
              </w:rPr>
              <w:t>£m</w:t>
            </w:r>
          </w:p>
        </w:tc>
        <w:tc>
          <w:tcPr>
            <w:tcW w:w="1334" w:type="dxa"/>
            <w:noWrap/>
            <w:hideMark/>
          </w:tcPr>
          <w:p w:rsidR="00AD081B" w:rsidRPr="0066584D" w:rsidRDefault="007D6BEE" w:rsidP="00AD081B">
            <w:pPr>
              <w:autoSpaceDE/>
              <w:autoSpaceDN/>
              <w:adjustRightInd/>
              <w:spacing w:after="0"/>
              <w:jc w:val="center"/>
              <w:rPr>
                <w:rFonts w:cs="Arial"/>
                <w:b/>
                <w:bCs/>
                <w:lang w:eastAsia="en-GB"/>
              </w:rPr>
            </w:pPr>
          </w:p>
        </w:tc>
        <w:tc>
          <w:tcPr>
            <w:tcW w:w="1227" w:type="dxa"/>
            <w:noWrap/>
            <w:hideMark/>
          </w:tcPr>
          <w:p w:rsidR="00AD081B" w:rsidRPr="0066584D" w:rsidRDefault="007D6BEE" w:rsidP="00AD081B">
            <w:pPr>
              <w:autoSpaceDE/>
              <w:autoSpaceDN/>
              <w:adjustRightInd/>
              <w:spacing w:after="0"/>
              <w:jc w:val="center"/>
              <w:rPr>
                <w:rFonts w:cs="Arial"/>
                <w:b/>
                <w:bCs/>
                <w:lang w:eastAsia="en-GB"/>
              </w:rPr>
            </w:pPr>
            <w:r w:rsidRPr="0066584D">
              <w:rPr>
                <w:rFonts w:cs="Arial"/>
                <w:b/>
                <w:bCs/>
                <w:lang w:eastAsia="en-GB"/>
              </w:rPr>
              <w:t>£m</w:t>
            </w:r>
          </w:p>
        </w:tc>
        <w:tc>
          <w:tcPr>
            <w:tcW w:w="1125" w:type="dxa"/>
            <w:noWrap/>
            <w:hideMark/>
          </w:tcPr>
          <w:p w:rsidR="00AD081B" w:rsidRPr="0066584D" w:rsidRDefault="007D6BEE" w:rsidP="00AD081B">
            <w:pPr>
              <w:autoSpaceDE/>
              <w:autoSpaceDN/>
              <w:adjustRightInd/>
              <w:spacing w:after="0"/>
              <w:jc w:val="center"/>
              <w:rPr>
                <w:rFonts w:cs="Arial"/>
                <w:b/>
                <w:bCs/>
                <w:lang w:eastAsia="en-GB"/>
              </w:rPr>
            </w:pPr>
          </w:p>
        </w:tc>
      </w:tr>
      <w:tr w:rsidR="008F3A16" w:rsidTr="001A0E48">
        <w:trPr>
          <w:trHeight w:val="717"/>
        </w:trPr>
        <w:tc>
          <w:tcPr>
            <w:tcW w:w="2160" w:type="dxa"/>
            <w:hideMark/>
          </w:tcPr>
          <w:p w:rsidR="00AD081B" w:rsidRPr="0066584D" w:rsidRDefault="007D6BEE" w:rsidP="00AD081B">
            <w:pPr>
              <w:autoSpaceDE/>
              <w:autoSpaceDN/>
              <w:adjustRightInd/>
              <w:spacing w:after="0"/>
              <w:rPr>
                <w:rFonts w:cs="Arial"/>
                <w:lang w:eastAsia="en-GB"/>
              </w:rPr>
            </w:pPr>
            <w:r w:rsidRPr="0066584D">
              <w:rPr>
                <w:rFonts w:cs="Arial"/>
                <w:lang w:eastAsia="en-GB"/>
              </w:rPr>
              <w:t xml:space="preserve">Schools </w:t>
            </w:r>
            <w:r w:rsidRPr="0066584D">
              <w:rPr>
                <w:rFonts w:cs="Arial"/>
                <w:lang w:eastAsia="en-GB"/>
              </w:rPr>
              <w:t>(excluding Devolved Formula Capital DFC)</w:t>
            </w:r>
          </w:p>
        </w:tc>
        <w:tc>
          <w:tcPr>
            <w:tcW w:w="1663" w:type="dxa"/>
            <w:noWrap/>
            <w:vAlign w:val="center"/>
          </w:tcPr>
          <w:p w:rsidR="00AD081B" w:rsidRPr="0066584D" w:rsidRDefault="007D6BEE" w:rsidP="00F22DF4">
            <w:pPr>
              <w:spacing w:after="0"/>
              <w:jc w:val="right"/>
              <w:rPr>
                <w:rFonts w:cs="Arial"/>
                <w:lang w:eastAsia="en-GB"/>
              </w:rPr>
            </w:pPr>
            <w:r>
              <w:rPr>
                <w:rFonts w:cs="Arial"/>
                <w:lang w:eastAsia="en-GB"/>
              </w:rPr>
              <w:t>34.805</w:t>
            </w:r>
          </w:p>
        </w:tc>
        <w:tc>
          <w:tcPr>
            <w:tcW w:w="1275" w:type="dxa"/>
            <w:noWrap/>
            <w:vAlign w:val="center"/>
          </w:tcPr>
          <w:p w:rsidR="00AD081B" w:rsidRPr="0066584D" w:rsidRDefault="007D6BEE" w:rsidP="00F22DF4">
            <w:pPr>
              <w:spacing w:after="0"/>
              <w:jc w:val="right"/>
              <w:rPr>
                <w:rFonts w:cs="Arial"/>
                <w:lang w:eastAsia="en-GB"/>
              </w:rPr>
            </w:pPr>
            <w:r>
              <w:rPr>
                <w:rFonts w:cs="Arial"/>
                <w:lang w:eastAsia="en-GB"/>
              </w:rPr>
              <w:t>32.243</w:t>
            </w:r>
          </w:p>
        </w:tc>
        <w:tc>
          <w:tcPr>
            <w:tcW w:w="1276" w:type="dxa"/>
            <w:noWrap/>
            <w:vAlign w:val="center"/>
          </w:tcPr>
          <w:p w:rsidR="00AD081B" w:rsidRPr="0066584D" w:rsidRDefault="007D6BEE" w:rsidP="00F22DF4">
            <w:pPr>
              <w:spacing w:after="0"/>
              <w:jc w:val="right"/>
              <w:rPr>
                <w:rFonts w:cs="Arial"/>
                <w:lang w:eastAsia="en-GB"/>
              </w:rPr>
            </w:pPr>
            <w:r>
              <w:rPr>
                <w:rFonts w:cs="Arial"/>
                <w:lang w:eastAsia="en-GB"/>
              </w:rPr>
              <w:t>-2.562</w:t>
            </w:r>
          </w:p>
        </w:tc>
        <w:tc>
          <w:tcPr>
            <w:tcW w:w="1334" w:type="dxa"/>
            <w:noWrap/>
            <w:vAlign w:val="center"/>
          </w:tcPr>
          <w:p w:rsidR="00AD081B" w:rsidRPr="0066584D" w:rsidRDefault="007D6BEE" w:rsidP="00F22DF4">
            <w:pPr>
              <w:spacing w:after="0"/>
              <w:jc w:val="right"/>
              <w:rPr>
                <w:rFonts w:cs="Arial"/>
                <w:lang w:eastAsia="en-GB"/>
              </w:rPr>
            </w:pPr>
            <w:r>
              <w:rPr>
                <w:rFonts w:cs="Arial"/>
                <w:lang w:eastAsia="en-GB"/>
              </w:rPr>
              <w:t>-7.36%</w:t>
            </w:r>
          </w:p>
        </w:tc>
        <w:tc>
          <w:tcPr>
            <w:tcW w:w="1227" w:type="dxa"/>
            <w:noWrap/>
            <w:vAlign w:val="center"/>
          </w:tcPr>
          <w:p w:rsidR="00AD081B" w:rsidRPr="0066584D" w:rsidRDefault="007D6BEE" w:rsidP="00F22DF4">
            <w:pPr>
              <w:spacing w:after="0"/>
              <w:jc w:val="right"/>
              <w:rPr>
                <w:rFonts w:cs="Arial"/>
                <w:lang w:eastAsia="en-GB"/>
              </w:rPr>
            </w:pPr>
            <w:r>
              <w:rPr>
                <w:rFonts w:cs="Arial"/>
                <w:lang w:eastAsia="en-GB"/>
              </w:rPr>
              <w:t>3.132</w:t>
            </w:r>
          </w:p>
        </w:tc>
        <w:tc>
          <w:tcPr>
            <w:tcW w:w="1125" w:type="dxa"/>
            <w:noWrap/>
            <w:vAlign w:val="center"/>
          </w:tcPr>
          <w:p w:rsidR="00AD081B" w:rsidRPr="0066584D" w:rsidRDefault="007D6BEE" w:rsidP="00F22DF4">
            <w:pPr>
              <w:spacing w:after="0"/>
              <w:jc w:val="right"/>
              <w:rPr>
                <w:rFonts w:cs="Arial"/>
                <w:lang w:eastAsia="en-GB"/>
              </w:rPr>
            </w:pPr>
            <w:r>
              <w:rPr>
                <w:rFonts w:cs="Arial"/>
                <w:lang w:eastAsia="en-GB"/>
              </w:rPr>
              <w:t>9</w:t>
            </w:r>
            <w:r>
              <w:rPr>
                <w:rFonts w:cs="Arial"/>
                <w:lang w:eastAsia="en-GB"/>
              </w:rPr>
              <w:t>.00</w:t>
            </w:r>
            <w:r>
              <w:rPr>
                <w:rFonts w:cs="Arial"/>
                <w:lang w:eastAsia="en-GB"/>
              </w:rPr>
              <w:t>%</w:t>
            </w:r>
          </w:p>
        </w:tc>
      </w:tr>
      <w:tr w:rsidR="008F3A16" w:rsidTr="001A0E48">
        <w:trPr>
          <w:trHeight w:val="479"/>
        </w:trPr>
        <w:tc>
          <w:tcPr>
            <w:tcW w:w="2160" w:type="dxa"/>
            <w:noWrap/>
            <w:hideMark/>
          </w:tcPr>
          <w:p w:rsidR="00AD081B" w:rsidRPr="0066584D" w:rsidRDefault="007D6BEE" w:rsidP="00AD081B">
            <w:pPr>
              <w:autoSpaceDE/>
              <w:autoSpaceDN/>
              <w:adjustRightInd/>
              <w:spacing w:after="0"/>
              <w:rPr>
                <w:rFonts w:cs="Arial"/>
                <w:lang w:eastAsia="en-GB"/>
              </w:rPr>
            </w:pPr>
            <w:r w:rsidRPr="0066584D">
              <w:rPr>
                <w:rFonts w:cs="Arial"/>
                <w:lang w:eastAsia="en-GB"/>
              </w:rPr>
              <w:t>Schools DFC</w:t>
            </w:r>
          </w:p>
        </w:tc>
        <w:tc>
          <w:tcPr>
            <w:tcW w:w="1663" w:type="dxa"/>
            <w:noWrap/>
            <w:vAlign w:val="center"/>
          </w:tcPr>
          <w:p w:rsidR="00AD081B" w:rsidRPr="0066584D" w:rsidRDefault="007D6BEE" w:rsidP="00F22DF4">
            <w:pPr>
              <w:spacing w:after="0"/>
              <w:jc w:val="right"/>
              <w:rPr>
                <w:rFonts w:cs="Arial"/>
                <w:lang w:eastAsia="en-GB"/>
              </w:rPr>
            </w:pPr>
            <w:r>
              <w:rPr>
                <w:rFonts w:cs="Arial"/>
                <w:lang w:eastAsia="en-GB"/>
              </w:rPr>
              <w:t>2.633</w:t>
            </w:r>
          </w:p>
        </w:tc>
        <w:tc>
          <w:tcPr>
            <w:tcW w:w="1275" w:type="dxa"/>
            <w:noWrap/>
            <w:vAlign w:val="center"/>
          </w:tcPr>
          <w:p w:rsidR="00AD081B" w:rsidRPr="0066584D" w:rsidRDefault="007D6BEE" w:rsidP="00F22DF4">
            <w:pPr>
              <w:spacing w:after="0"/>
              <w:jc w:val="right"/>
              <w:rPr>
                <w:rFonts w:cs="Arial"/>
                <w:lang w:eastAsia="en-GB"/>
              </w:rPr>
            </w:pPr>
            <w:r>
              <w:rPr>
                <w:rFonts w:cs="Arial"/>
                <w:lang w:eastAsia="en-GB"/>
              </w:rPr>
              <w:t>2.633</w:t>
            </w:r>
          </w:p>
        </w:tc>
        <w:tc>
          <w:tcPr>
            <w:tcW w:w="1276" w:type="dxa"/>
            <w:noWrap/>
            <w:vAlign w:val="center"/>
          </w:tcPr>
          <w:p w:rsidR="00AD081B" w:rsidRPr="0066584D" w:rsidRDefault="007D6BEE" w:rsidP="00F22DF4">
            <w:pPr>
              <w:spacing w:after="0"/>
              <w:jc w:val="right"/>
              <w:rPr>
                <w:rFonts w:cs="Arial"/>
                <w:lang w:eastAsia="en-GB"/>
              </w:rPr>
            </w:pPr>
            <w:r>
              <w:rPr>
                <w:rFonts w:cs="Arial"/>
                <w:lang w:eastAsia="en-GB"/>
              </w:rPr>
              <w:t>0</w:t>
            </w:r>
            <w:r>
              <w:rPr>
                <w:rFonts w:cs="Arial"/>
                <w:lang w:eastAsia="en-GB"/>
              </w:rPr>
              <w:t>.000</w:t>
            </w:r>
          </w:p>
        </w:tc>
        <w:tc>
          <w:tcPr>
            <w:tcW w:w="1334" w:type="dxa"/>
            <w:noWrap/>
            <w:vAlign w:val="center"/>
          </w:tcPr>
          <w:p w:rsidR="00AD081B" w:rsidRPr="0066584D" w:rsidRDefault="007D6BEE" w:rsidP="00F22DF4">
            <w:pPr>
              <w:spacing w:after="0"/>
              <w:jc w:val="right"/>
              <w:rPr>
                <w:rFonts w:cs="Arial"/>
                <w:lang w:eastAsia="en-GB"/>
              </w:rPr>
            </w:pPr>
            <w:r>
              <w:rPr>
                <w:rFonts w:cs="Arial"/>
                <w:lang w:eastAsia="en-GB"/>
              </w:rPr>
              <w:t>0</w:t>
            </w:r>
            <w:r>
              <w:rPr>
                <w:rFonts w:cs="Arial"/>
                <w:lang w:eastAsia="en-GB"/>
              </w:rPr>
              <w:t>.00%</w:t>
            </w:r>
          </w:p>
        </w:tc>
        <w:tc>
          <w:tcPr>
            <w:tcW w:w="1227" w:type="dxa"/>
            <w:noWrap/>
            <w:vAlign w:val="center"/>
          </w:tcPr>
          <w:p w:rsidR="00AD081B" w:rsidRPr="0066584D" w:rsidRDefault="007D6BEE" w:rsidP="00F22DF4">
            <w:pPr>
              <w:spacing w:after="0"/>
              <w:jc w:val="right"/>
              <w:rPr>
                <w:rFonts w:cs="Arial"/>
                <w:lang w:eastAsia="en-GB"/>
              </w:rPr>
            </w:pPr>
            <w:r>
              <w:rPr>
                <w:rFonts w:cs="Arial"/>
                <w:lang w:eastAsia="en-GB"/>
              </w:rPr>
              <w:t>0</w:t>
            </w:r>
            <w:r>
              <w:rPr>
                <w:rFonts w:cs="Arial"/>
                <w:lang w:eastAsia="en-GB"/>
              </w:rPr>
              <w:t>.000</w:t>
            </w:r>
          </w:p>
        </w:tc>
        <w:tc>
          <w:tcPr>
            <w:tcW w:w="1125" w:type="dxa"/>
            <w:noWrap/>
            <w:vAlign w:val="center"/>
          </w:tcPr>
          <w:p w:rsidR="00AD081B" w:rsidRPr="0066584D" w:rsidRDefault="007D6BEE" w:rsidP="00F22DF4">
            <w:pPr>
              <w:spacing w:after="0"/>
              <w:jc w:val="right"/>
              <w:rPr>
                <w:rFonts w:cs="Arial"/>
                <w:lang w:eastAsia="en-GB"/>
              </w:rPr>
            </w:pPr>
            <w:r>
              <w:rPr>
                <w:rFonts w:cs="Arial"/>
                <w:lang w:eastAsia="en-GB"/>
              </w:rPr>
              <w:t>0</w:t>
            </w:r>
            <w:r>
              <w:rPr>
                <w:rFonts w:cs="Arial"/>
                <w:lang w:eastAsia="en-GB"/>
              </w:rPr>
              <w:t>.00%</w:t>
            </w:r>
          </w:p>
        </w:tc>
      </w:tr>
      <w:tr w:rsidR="008F3A16" w:rsidTr="001A0E48">
        <w:trPr>
          <w:trHeight w:val="479"/>
        </w:trPr>
        <w:tc>
          <w:tcPr>
            <w:tcW w:w="2160" w:type="dxa"/>
            <w:noWrap/>
            <w:hideMark/>
          </w:tcPr>
          <w:p w:rsidR="00AD081B" w:rsidRPr="0066584D" w:rsidRDefault="007D6BEE" w:rsidP="00F22DF4">
            <w:pPr>
              <w:autoSpaceDE/>
              <w:autoSpaceDN/>
              <w:adjustRightInd/>
              <w:spacing w:after="0"/>
              <w:jc w:val="left"/>
              <w:rPr>
                <w:rFonts w:cs="Arial"/>
                <w:lang w:eastAsia="en-GB"/>
              </w:rPr>
            </w:pPr>
            <w:r w:rsidRPr="0066584D">
              <w:rPr>
                <w:rFonts w:cs="Arial"/>
                <w:lang w:eastAsia="en-GB"/>
              </w:rPr>
              <w:t>Children and Young Peopl</w:t>
            </w:r>
            <w:r>
              <w:rPr>
                <w:rFonts w:cs="Arial"/>
                <w:lang w:eastAsia="en-GB"/>
              </w:rPr>
              <w:t>e's Service</w:t>
            </w:r>
          </w:p>
        </w:tc>
        <w:tc>
          <w:tcPr>
            <w:tcW w:w="1663" w:type="dxa"/>
            <w:noWrap/>
            <w:vAlign w:val="center"/>
          </w:tcPr>
          <w:p w:rsidR="00AD081B" w:rsidRPr="0066584D" w:rsidRDefault="007D6BEE" w:rsidP="00F22DF4">
            <w:pPr>
              <w:spacing w:after="0"/>
              <w:jc w:val="right"/>
              <w:rPr>
                <w:rFonts w:cs="Arial"/>
                <w:lang w:eastAsia="en-GB"/>
              </w:rPr>
            </w:pPr>
            <w:r>
              <w:rPr>
                <w:rFonts w:cs="Arial"/>
                <w:lang w:eastAsia="en-GB"/>
              </w:rPr>
              <w:t>4.925</w:t>
            </w:r>
          </w:p>
        </w:tc>
        <w:tc>
          <w:tcPr>
            <w:tcW w:w="1275" w:type="dxa"/>
            <w:noWrap/>
            <w:vAlign w:val="center"/>
          </w:tcPr>
          <w:p w:rsidR="00AD081B" w:rsidRPr="0066584D" w:rsidRDefault="007D6BEE" w:rsidP="00F22DF4">
            <w:pPr>
              <w:spacing w:after="0"/>
              <w:jc w:val="right"/>
              <w:rPr>
                <w:rFonts w:cs="Arial"/>
                <w:lang w:eastAsia="en-GB"/>
              </w:rPr>
            </w:pPr>
            <w:r>
              <w:rPr>
                <w:rFonts w:cs="Arial"/>
                <w:lang w:eastAsia="en-GB"/>
              </w:rPr>
              <w:t>7.858</w:t>
            </w:r>
          </w:p>
        </w:tc>
        <w:tc>
          <w:tcPr>
            <w:tcW w:w="1276" w:type="dxa"/>
            <w:noWrap/>
            <w:vAlign w:val="center"/>
          </w:tcPr>
          <w:p w:rsidR="00AD081B" w:rsidRPr="0066584D" w:rsidRDefault="007D6BEE" w:rsidP="00F22DF4">
            <w:pPr>
              <w:spacing w:after="0"/>
              <w:jc w:val="right"/>
              <w:rPr>
                <w:rFonts w:cs="Arial"/>
                <w:lang w:eastAsia="en-GB"/>
              </w:rPr>
            </w:pPr>
            <w:r>
              <w:rPr>
                <w:rFonts w:cs="Arial"/>
                <w:lang w:eastAsia="en-GB"/>
              </w:rPr>
              <w:t>2.933</w:t>
            </w:r>
          </w:p>
        </w:tc>
        <w:tc>
          <w:tcPr>
            <w:tcW w:w="1334" w:type="dxa"/>
            <w:noWrap/>
            <w:vAlign w:val="center"/>
          </w:tcPr>
          <w:p w:rsidR="00AD081B" w:rsidRPr="0066584D" w:rsidRDefault="007D6BEE" w:rsidP="00F22DF4">
            <w:pPr>
              <w:spacing w:after="0"/>
              <w:jc w:val="right"/>
              <w:rPr>
                <w:rFonts w:cs="Arial"/>
                <w:lang w:eastAsia="en-GB"/>
              </w:rPr>
            </w:pPr>
            <w:r>
              <w:rPr>
                <w:rFonts w:cs="Arial"/>
                <w:lang w:eastAsia="en-GB"/>
              </w:rPr>
              <w:t>59.55%</w:t>
            </w:r>
          </w:p>
        </w:tc>
        <w:tc>
          <w:tcPr>
            <w:tcW w:w="1227" w:type="dxa"/>
            <w:noWrap/>
            <w:vAlign w:val="center"/>
          </w:tcPr>
          <w:p w:rsidR="00AD081B" w:rsidRPr="0066584D" w:rsidRDefault="007D6BEE" w:rsidP="00F22DF4">
            <w:pPr>
              <w:spacing w:after="0"/>
              <w:jc w:val="right"/>
              <w:rPr>
                <w:rFonts w:cs="Arial"/>
                <w:lang w:eastAsia="en-GB"/>
              </w:rPr>
            </w:pPr>
            <w:r>
              <w:rPr>
                <w:rFonts w:cs="Arial"/>
                <w:lang w:eastAsia="en-GB"/>
              </w:rPr>
              <w:t>1.12</w:t>
            </w:r>
            <w:r>
              <w:rPr>
                <w:rFonts w:cs="Arial"/>
                <w:lang w:eastAsia="en-GB"/>
              </w:rPr>
              <w:t>0</w:t>
            </w:r>
          </w:p>
        </w:tc>
        <w:tc>
          <w:tcPr>
            <w:tcW w:w="1125" w:type="dxa"/>
            <w:noWrap/>
            <w:vAlign w:val="center"/>
          </w:tcPr>
          <w:p w:rsidR="00AD081B" w:rsidRPr="0066584D" w:rsidRDefault="007D6BEE" w:rsidP="00F22DF4">
            <w:pPr>
              <w:spacing w:after="0"/>
              <w:jc w:val="right"/>
              <w:rPr>
                <w:rFonts w:cs="Arial"/>
                <w:lang w:eastAsia="en-GB"/>
              </w:rPr>
            </w:pPr>
            <w:r>
              <w:rPr>
                <w:rFonts w:cs="Arial"/>
                <w:lang w:eastAsia="en-GB"/>
              </w:rPr>
              <w:t>22.74%</w:t>
            </w:r>
          </w:p>
        </w:tc>
      </w:tr>
      <w:tr w:rsidR="008F3A16" w:rsidTr="001A0E48">
        <w:trPr>
          <w:trHeight w:val="348"/>
        </w:trPr>
        <w:tc>
          <w:tcPr>
            <w:tcW w:w="2160" w:type="dxa"/>
            <w:noWrap/>
            <w:hideMark/>
          </w:tcPr>
          <w:p w:rsidR="00AD081B" w:rsidRPr="0066584D" w:rsidRDefault="007D6BEE" w:rsidP="00AD081B">
            <w:pPr>
              <w:autoSpaceDE/>
              <w:autoSpaceDN/>
              <w:adjustRightInd/>
              <w:spacing w:after="0"/>
              <w:rPr>
                <w:rFonts w:cs="Arial"/>
                <w:lang w:eastAsia="en-GB"/>
              </w:rPr>
            </w:pPr>
            <w:r w:rsidRPr="0066584D">
              <w:rPr>
                <w:rFonts w:cs="Arial"/>
                <w:lang w:eastAsia="en-GB"/>
              </w:rPr>
              <w:t>Waste and Other</w:t>
            </w:r>
            <w:r>
              <w:rPr>
                <w:rFonts w:cs="Arial"/>
                <w:lang w:eastAsia="en-GB"/>
              </w:rPr>
              <w:t xml:space="preserve"> Projects</w:t>
            </w:r>
          </w:p>
        </w:tc>
        <w:tc>
          <w:tcPr>
            <w:tcW w:w="1663" w:type="dxa"/>
            <w:noWrap/>
            <w:vAlign w:val="center"/>
          </w:tcPr>
          <w:p w:rsidR="00AD081B" w:rsidRPr="0066584D" w:rsidRDefault="007D6BEE" w:rsidP="00F22DF4">
            <w:pPr>
              <w:autoSpaceDE/>
              <w:autoSpaceDN/>
              <w:adjustRightInd/>
              <w:spacing w:after="0"/>
              <w:jc w:val="right"/>
              <w:rPr>
                <w:rFonts w:cs="Arial"/>
                <w:lang w:eastAsia="en-GB"/>
              </w:rPr>
            </w:pPr>
            <w:r>
              <w:rPr>
                <w:rFonts w:cs="Arial"/>
                <w:lang w:eastAsia="en-GB"/>
              </w:rPr>
              <w:t>0.821</w:t>
            </w:r>
          </w:p>
        </w:tc>
        <w:tc>
          <w:tcPr>
            <w:tcW w:w="1275" w:type="dxa"/>
            <w:noWrap/>
            <w:vAlign w:val="center"/>
          </w:tcPr>
          <w:p w:rsidR="00AD081B" w:rsidRPr="0066584D" w:rsidRDefault="007D6BEE" w:rsidP="00F22DF4">
            <w:pPr>
              <w:autoSpaceDE/>
              <w:autoSpaceDN/>
              <w:adjustRightInd/>
              <w:spacing w:after="0"/>
              <w:jc w:val="right"/>
              <w:rPr>
                <w:rFonts w:cs="Arial"/>
                <w:lang w:eastAsia="en-GB"/>
              </w:rPr>
            </w:pPr>
            <w:r>
              <w:rPr>
                <w:rFonts w:cs="Arial"/>
                <w:lang w:eastAsia="en-GB"/>
              </w:rPr>
              <w:t>0.752</w:t>
            </w:r>
          </w:p>
        </w:tc>
        <w:tc>
          <w:tcPr>
            <w:tcW w:w="1276" w:type="dxa"/>
            <w:noWrap/>
            <w:vAlign w:val="center"/>
          </w:tcPr>
          <w:p w:rsidR="00AD081B" w:rsidRPr="0066584D" w:rsidRDefault="007D6BEE" w:rsidP="00F22DF4">
            <w:pPr>
              <w:autoSpaceDE/>
              <w:autoSpaceDN/>
              <w:adjustRightInd/>
              <w:spacing w:after="0"/>
              <w:jc w:val="right"/>
              <w:rPr>
                <w:rFonts w:cs="Arial"/>
                <w:lang w:eastAsia="en-GB"/>
              </w:rPr>
            </w:pPr>
            <w:r>
              <w:rPr>
                <w:rFonts w:cs="Arial"/>
                <w:lang w:eastAsia="en-GB"/>
              </w:rPr>
              <w:t>-0.069</w:t>
            </w:r>
          </w:p>
        </w:tc>
        <w:tc>
          <w:tcPr>
            <w:tcW w:w="1334" w:type="dxa"/>
            <w:noWrap/>
            <w:vAlign w:val="center"/>
          </w:tcPr>
          <w:p w:rsidR="00AD081B" w:rsidRPr="0066584D" w:rsidRDefault="007D6BEE" w:rsidP="00F22DF4">
            <w:pPr>
              <w:autoSpaceDE/>
              <w:autoSpaceDN/>
              <w:adjustRightInd/>
              <w:spacing w:after="0"/>
              <w:jc w:val="right"/>
              <w:rPr>
                <w:rFonts w:cs="Arial"/>
                <w:lang w:eastAsia="en-GB"/>
              </w:rPr>
            </w:pPr>
            <w:r>
              <w:rPr>
                <w:rFonts w:cs="Arial"/>
                <w:lang w:eastAsia="en-GB"/>
              </w:rPr>
              <w:t>-8.40%</w:t>
            </w:r>
          </w:p>
        </w:tc>
        <w:tc>
          <w:tcPr>
            <w:tcW w:w="1227" w:type="dxa"/>
            <w:noWrap/>
            <w:vAlign w:val="center"/>
          </w:tcPr>
          <w:p w:rsidR="00AD081B" w:rsidRPr="0066584D" w:rsidRDefault="007D6BEE" w:rsidP="00F22DF4">
            <w:pPr>
              <w:autoSpaceDE/>
              <w:autoSpaceDN/>
              <w:adjustRightInd/>
              <w:spacing w:after="0"/>
              <w:jc w:val="right"/>
              <w:rPr>
                <w:rFonts w:cs="Arial"/>
                <w:lang w:eastAsia="en-GB"/>
              </w:rPr>
            </w:pPr>
            <w:r>
              <w:rPr>
                <w:rFonts w:cs="Arial"/>
                <w:lang w:eastAsia="en-GB"/>
              </w:rPr>
              <w:t>0.593</w:t>
            </w:r>
          </w:p>
        </w:tc>
        <w:tc>
          <w:tcPr>
            <w:tcW w:w="1125" w:type="dxa"/>
            <w:noWrap/>
            <w:vAlign w:val="center"/>
          </w:tcPr>
          <w:p w:rsidR="00AD081B" w:rsidRPr="0066584D" w:rsidRDefault="007D6BEE" w:rsidP="00F22DF4">
            <w:pPr>
              <w:autoSpaceDE/>
              <w:autoSpaceDN/>
              <w:adjustRightInd/>
              <w:spacing w:after="0"/>
              <w:jc w:val="right"/>
              <w:rPr>
                <w:rFonts w:cs="Arial"/>
                <w:lang w:eastAsia="en-GB"/>
              </w:rPr>
            </w:pPr>
            <w:r>
              <w:rPr>
                <w:rFonts w:cs="Arial"/>
                <w:lang w:eastAsia="en-GB"/>
              </w:rPr>
              <w:t>72.23%</w:t>
            </w:r>
          </w:p>
        </w:tc>
      </w:tr>
      <w:tr w:rsidR="008F3A16" w:rsidTr="001A0E48">
        <w:trPr>
          <w:trHeight w:val="479"/>
        </w:trPr>
        <w:tc>
          <w:tcPr>
            <w:tcW w:w="2160" w:type="dxa"/>
            <w:noWrap/>
            <w:hideMark/>
          </w:tcPr>
          <w:p w:rsidR="00AD081B" w:rsidRPr="0066584D" w:rsidRDefault="007D6BEE" w:rsidP="00AD081B">
            <w:pPr>
              <w:autoSpaceDE/>
              <w:autoSpaceDN/>
              <w:adjustRightInd/>
              <w:spacing w:after="0"/>
              <w:rPr>
                <w:rFonts w:cs="Arial"/>
                <w:lang w:eastAsia="en-GB"/>
              </w:rPr>
            </w:pPr>
            <w:r w:rsidRPr="0066584D">
              <w:rPr>
                <w:rFonts w:cs="Arial"/>
                <w:lang w:eastAsia="en-GB"/>
              </w:rPr>
              <w:t>Adult Social Care</w:t>
            </w:r>
          </w:p>
        </w:tc>
        <w:tc>
          <w:tcPr>
            <w:tcW w:w="1663" w:type="dxa"/>
            <w:noWrap/>
            <w:vAlign w:val="center"/>
          </w:tcPr>
          <w:p w:rsidR="00AD081B" w:rsidRPr="0066584D" w:rsidRDefault="007D6BEE" w:rsidP="00F22DF4">
            <w:pPr>
              <w:spacing w:after="0"/>
              <w:jc w:val="right"/>
              <w:rPr>
                <w:rFonts w:cs="Arial"/>
                <w:lang w:eastAsia="en-GB"/>
              </w:rPr>
            </w:pPr>
            <w:r>
              <w:rPr>
                <w:rFonts w:cs="Arial"/>
                <w:lang w:eastAsia="en-GB"/>
              </w:rPr>
              <w:t>14.431</w:t>
            </w:r>
          </w:p>
        </w:tc>
        <w:tc>
          <w:tcPr>
            <w:tcW w:w="1275" w:type="dxa"/>
            <w:noWrap/>
            <w:vAlign w:val="center"/>
          </w:tcPr>
          <w:p w:rsidR="00AD081B" w:rsidRPr="0066584D" w:rsidRDefault="007D6BEE" w:rsidP="00F22DF4">
            <w:pPr>
              <w:spacing w:after="0"/>
              <w:jc w:val="right"/>
              <w:rPr>
                <w:rFonts w:cs="Arial"/>
                <w:lang w:eastAsia="en-GB"/>
              </w:rPr>
            </w:pPr>
            <w:r>
              <w:rPr>
                <w:rFonts w:cs="Arial"/>
                <w:lang w:eastAsia="en-GB"/>
              </w:rPr>
              <w:t>13.500</w:t>
            </w:r>
          </w:p>
        </w:tc>
        <w:tc>
          <w:tcPr>
            <w:tcW w:w="1276" w:type="dxa"/>
            <w:noWrap/>
            <w:vAlign w:val="center"/>
          </w:tcPr>
          <w:p w:rsidR="00AD081B" w:rsidRPr="0066584D" w:rsidRDefault="007D6BEE" w:rsidP="00F22DF4">
            <w:pPr>
              <w:spacing w:after="0"/>
              <w:jc w:val="right"/>
              <w:rPr>
                <w:rFonts w:cs="Arial"/>
                <w:lang w:eastAsia="en-GB"/>
              </w:rPr>
            </w:pPr>
            <w:r>
              <w:rPr>
                <w:rFonts w:cs="Arial"/>
                <w:lang w:eastAsia="en-GB"/>
              </w:rPr>
              <w:t>-0.931</w:t>
            </w:r>
          </w:p>
        </w:tc>
        <w:tc>
          <w:tcPr>
            <w:tcW w:w="1334" w:type="dxa"/>
            <w:noWrap/>
            <w:vAlign w:val="center"/>
          </w:tcPr>
          <w:p w:rsidR="00AD081B" w:rsidRPr="0066584D" w:rsidRDefault="007D6BEE" w:rsidP="00F22DF4">
            <w:pPr>
              <w:spacing w:after="0"/>
              <w:jc w:val="right"/>
              <w:rPr>
                <w:rFonts w:cs="Arial"/>
                <w:lang w:eastAsia="en-GB"/>
              </w:rPr>
            </w:pPr>
            <w:r>
              <w:rPr>
                <w:rFonts w:cs="Arial"/>
                <w:lang w:eastAsia="en-GB"/>
              </w:rPr>
              <w:t>-6.45%</w:t>
            </w:r>
          </w:p>
        </w:tc>
        <w:tc>
          <w:tcPr>
            <w:tcW w:w="1227" w:type="dxa"/>
            <w:noWrap/>
            <w:vAlign w:val="center"/>
          </w:tcPr>
          <w:p w:rsidR="00AD081B" w:rsidRPr="0066584D" w:rsidRDefault="007D6BEE" w:rsidP="00F22DF4">
            <w:pPr>
              <w:spacing w:after="0"/>
              <w:jc w:val="right"/>
              <w:rPr>
                <w:rFonts w:cs="Arial"/>
                <w:lang w:eastAsia="en-GB"/>
              </w:rPr>
            </w:pPr>
            <w:r>
              <w:rPr>
                <w:rFonts w:cs="Arial"/>
                <w:lang w:eastAsia="en-GB"/>
              </w:rPr>
              <w:t>12.565</w:t>
            </w:r>
          </w:p>
        </w:tc>
        <w:tc>
          <w:tcPr>
            <w:tcW w:w="1125" w:type="dxa"/>
            <w:noWrap/>
            <w:vAlign w:val="center"/>
          </w:tcPr>
          <w:p w:rsidR="00AD081B" w:rsidRDefault="007D6BEE" w:rsidP="00F22DF4">
            <w:pPr>
              <w:spacing w:after="0"/>
              <w:jc w:val="right"/>
              <w:rPr>
                <w:rFonts w:cs="Arial"/>
                <w:lang w:eastAsia="en-GB"/>
              </w:rPr>
            </w:pPr>
            <w:r>
              <w:rPr>
                <w:rFonts w:cs="Arial"/>
                <w:lang w:eastAsia="en-GB"/>
              </w:rPr>
              <w:t>87.07%</w:t>
            </w:r>
          </w:p>
          <w:p w:rsidR="00AD081B" w:rsidRPr="0066584D" w:rsidRDefault="007D6BEE" w:rsidP="00F22DF4">
            <w:pPr>
              <w:spacing w:after="0"/>
              <w:jc w:val="right"/>
              <w:rPr>
                <w:rFonts w:cs="Arial"/>
                <w:lang w:eastAsia="en-GB"/>
              </w:rPr>
            </w:pPr>
          </w:p>
        </w:tc>
      </w:tr>
      <w:tr w:rsidR="008F3A16" w:rsidTr="001A0E48">
        <w:trPr>
          <w:trHeight w:val="479"/>
        </w:trPr>
        <w:tc>
          <w:tcPr>
            <w:tcW w:w="2160" w:type="dxa"/>
            <w:noWrap/>
            <w:hideMark/>
          </w:tcPr>
          <w:p w:rsidR="00AD081B" w:rsidRPr="0066584D" w:rsidRDefault="007D6BEE" w:rsidP="00AD081B">
            <w:pPr>
              <w:autoSpaceDE/>
              <w:autoSpaceDN/>
              <w:adjustRightInd/>
              <w:spacing w:after="0"/>
              <w:rPr>
                <w:rFonts w:cs="Arial"/>
                <w:lang w:eastAsia="en-GB"/>
              </w:rPr>
            </w:pPr>
            <w:r w:rsidRPr="0066584D">
              <w:rPr>
                <w:rFonts w:cs="Arial"/>
                <w:lang w:eastAsia="en-GB"/>
              </w:rPr>
              <w:t>Corporate</w:t>
            </w:r>
            <w:r>
              <w:rPr>
                <w:rFonts w:cs="Arial"/>
                <w:lang w:eastAsia="en-GB"/>
              </w:rPr>
              <w:t xml:space="preserve"> Programmes</w:t>
            </w:r>
          </w:p>
        </w:tc>
        <w:tc>
          <w:tcPr>
            <w:tcW w:w="1663" w:type="dxa"/>
            <w:noWrap/>
            <w:vAlign w:val="center"/>
          </w:tcPr>
          <w:p w:rsidR="00AD081B" w:rsidRPr="0066584D" w:rsidRDefault="007D6BEE" w:rsidP="00F22DF4">
            <w:pPr>
              <w:spacing w:after="0"/>
              <w:jc w:val="right"/>
              <w:rPr>
                <w:rFonts w:cs="Arial"/>
                <w:lang w:eastAsia="en-GB"/>
              </w:rPr>
            </w:pPr>
            <w:r>
              <w:rPr>
                <w:rFonts w:cs="Arial"/>
                <w:lang w:eastAsia="en-GB"/>
              </w:rPr>
              <w:t>14.049</w:t>
            </w:r>
          </w:p>
        </w:tc>
        <w:tc>
          <w:tcPr>
            <w:tcW w:w="1275" w:type="dxa"/>
            <w:noWrap/>
            <w:vAlign w:val="center"/>
          </w:tcPr>
          <w:p w:rsidR="00AD081B" w:rsidRPr="0066584D" w:rsidRDefault="007D6BEE" w:rsidP="00F22DF4">
            <w:pPr>
              <w:spacing w:after="0"/>
              <w:jc w:val="right"/>
              <w:rPr>
                <w:rFonts w:cs="Arial"/>
                <w:lang w:eastAsia="en-GB"/>
              </w:rPr>
            </w:pPr>
            <w:r>
              <w:rPr>
                <w:rFonts w:cs="Arial"/>
                <w:lang w:eastAsia="en-GB"/>
              </w:rPr>
              <w:t>13.790</w:t>
            </w:r>
          </w:p>
        </w:tc>
        <w:tc>
          <w:tcPr>
            <w:tcW w:w="1276" w:type="dxa"/>
            <w:noWrap/>
            <w:vAlign w:val="center"/>
          </w:tcPr>
          <w:p w:rsidR="00AD081B" w:rsidRPr="0066584D" w:rsidRDefault="007D6BEE" w:rsidP="00F22DF4">
            <w:pPr>
              <w:spacing w:after="0"/>
              <w:jc w:val="right"/>
              <w:rPr>
                <w:rFonts w:cs="Arial"/>
                <w:lang w:eastAsia="en-GB"/>
              </w:rPr>
            </w:pPr>
            <w:r>
              <w:rPr>
                <w:rFonts w:cs="Arial"/>
                <w:lang w:eastAsia="en-GB"/>
              </w:rPr>
              <w:t>-0.259</w:t>
            </w:r>
          </w:p>
        </w:tc>
        <w:tc>
          <w:tcPr>
            <w:tcW w:w="1334" w:type="dxa"/>
            <w:noWrap/>
            <w:vAlign w:val="center"/>
          </w:tcPr>
          <w:p w:rsidR="00AD081B" w:rsidRPr="0066584D" w:rsidRDefault="007D6BEE" w:rsidP="00F22DF4">
            <w:pPr>
              <w:spacing w:after="0"/>
              <w:jc w:val="right"/>
              <w:rPr>
                <w:rFonts w:cs="Arial"/>
                <w:lang w:eastAsia="en-GB"/>
              </w:rPr>
            </w:pPr>
            <w:r>
              <w:rPr>
                <w:rFonts w:cs="Arial"/>
                <w:lang w:eastAsia="en-GB"/>
              </w:rPr>
              <w:t>-1.84%</w:t>
            </w:r>
          </w:p>
        </w:tc>
        <w:tc>
          <w:tcPr>
            <w:tcW w:w="1227" w:type="dxa"/>
            <w:noWrap/>
            <w:vAlign w:val="center"/>
          </w:tcPr>
          <w:p w:rsidR="00AD081B" w:rsidRPr="0066584D" w:rsidRDefault="007D6BEE" w:rsidP="00F22DF4">
            <w:pPr>
              <w:spacing w:after="0"/>
              <w:jc w:val="right"/>
              <w:rPr>
                <w:rFonts w:cs="Arial"/>
                <w:lang w:eastAsia="en-GB"/>
              </w:rPr>
            </w:pPr>
            <w:r>
              <w:rPr>
                <w:rFonts w:cs="Arial"/>
                <w:lang w:eastAsia="en-GB"/>
              </w:rPr>
              <w:t>2.826</w:t>
            </w:r>
          </w:p>
        </w:tc>
        <w:tc>
          <w:tcPr>
            <w:tcW w:w="1125" w:type="dxa"/>
            <w:noWrap/>
            <w:vAlign w:val="center"/>
          </w:tcPr>
          <w:p w:rsidR="00AD081B" w:rsidRPr="0066584D" w:rsidRDefault="007D6BEE" w:rsidP="00F22DF4">
            <w:pPr>
              <w:spacing w:after="0"/>
              <w:jc w:val="right"/>
              <w:rPr>
                <w:rFonts w:cs="Arial"/>
                <w:lang w:eastAsia="en-GB"/>
              </w:rPr>
            </w:pPr>
            <w:r>
              <w:rPr>
                <w:rFonts w:cs="Arial"/>
                <w:lang w:eastAsia="en-GB"/>
              </w:rPr>
              <w:t>20.12%</w:t>
            </w:r>
          </w:p>
        </w:tc>
      </w:tr>
      <w:tr w:rsidR="008F3A16" w:rsidTr="001A0E48">
        <w:trPr>
          <w:trHeight w:val="479"/>
        </w:trPr>
        <w:tc>
          <w:tcPr>
            <w:tcW w:w="2160" w:type="dxa"/>
            <w:noWrap/>
            <w:hideMark/>
          </w:tcPr>
          <w:p w:rsidR="00AD081B" w:rsidRPr="0066584D" w:rsidRDefault="007D6BEE" w:rsidP="00AD081B">
            <w:pPr>
              <w:autoSpaceDE/>
              <w:autoSpaceDN/>
              <w:adjustRightInd/>
              <w:spacing w:after="0"/>
              <w:rPr>
                <w:rFonts w:cs="Arial"/>
                <w:lang w:eastAsia="en-GB"/>
              </w:rPr>
            </w:pPr>
            <w:r w:rsidRPr="0066584D">
              <w:rPr>
                <w:rFonts w:cs="Arial"/>
                <w:lang w:eastAsia="en-GB"/>
              </w:rPr>
              <w:t>Vehicle</w:t>
            </w:r>
            <w:r>
              <w:rPr>
                <w:rFonts w:cs="Arial"/>
                <w:lang w:eastAsia="en-GB"/>
              </w:rPr>
              <w:t xml:space="preserve"> Replacement Programme</w:t>
            </w:r>
          </w:p>
        </w:tc>
        <w:tc>
          <w:tcPr>
            <w:tcW w:w="1663" w:type="dxa"/>
            <w:noWrap/>
            <w:vAlign w:val="center"/>
          </w:tcPr>
          <w:p w:rsidR="00AD081B" w:rsidRPr="0066584D" w:rsidRDefault="007D6BEE" w:rsidP="00F22DF4">
            <w:pPr>
              <w:spacing w:after="0"/>
              <w:jc w:val="right"/>
              <w:rPr>
                <w:rFonts w:cs="Arial"/>
                <w:lang w:eastAsia="en-GB"/>
              </w:rPr>
            </w:pPr>
            <w:r>
              <w:rPr>
                <w:rFonts w:cs="Arial"/>
                <w:lang w:eastAsia="en-GB"/>
              </w:rPr>
              <w:t>2.780</w:t>
            </w:r>
          </w:p>
        </w:tc>
        <w:tc>
          <w:tcPr>
            <w:tcW w:w="1275" w:type="dxa"/>
            <w:noWrap/>
            <w:vAlign w:val="center"/>
          </w:tcPr>
          <w:p w:rsidR="00AD081B" w:rsidRPr="0066584D" w:rsidRDefault="007D6BEE" w:rsidP="00F22DF4">
            <w:pPr>
              <w:spacing w:after="0"/>
              <w:jc w:val="right"/>
              <w:rPr>
                <w:rFonts w:cs="Arial"/>
                <w:lang w:eastAsia="en-GB"/>
              </w:rPr>
            </w:pPr>
            <w:r>
              <w:rPr>
                <w:rFonts w:cs="Arial"/>
                <w:lang w:eastAsia="en-GB"/>
              </w:rPr>
              <w:t>3.</w:t>
            </w:r>
            <w:r>
              <w:rPr>
                <w:rFonts w:cs="Arial"/>
                <w:lang w:eastAsia="en-GB"/>
              </w:rPr>
              <w:t>050</w:t>
            </w:r>
          </w:p>
        </w:tc>
        <w:tc>
          <w:tcPr>
            <w:tcW w:w="1276" w:type="dxa"/>
            <w:noWrap/>
            <w:vAlign w:val="center"/>
          </w:tcPr>
          <w:p w:rsidR="00AD081B" w:rsidRPr="0066584D" w:rsidRDefault="007D6BEE" w:rsidP="00F22DF4">
            <w:pPr>
              <w:spacing w:after="0"/>
              <w:jc w:val="right"/>
              <w:rPr>
                <w:rFonts w:cs="Arial"/>
                <w:lang w:eastAsia="en-GB"/>
              </w:rPr>
            </w:pPr>
            <w:r>
              <w:rPr>
                <w:rFonts w:cs="Arial"/>
                <w:lang w:eastAsia="en-GB"/>
              </w:rPr>
              <w:t>0.</w:t>
            </w:r>
            <w:r>
              <w:rPr>
                <w:rFonts w:cs="Arial"/>
                <w:lang w:eastAsia="en-GB"/>
              </w:rPr>
              <w:t>27</w:t>
            </w:r>
            <w:r>
              <w:rPr>
                <w:rFonts w:cs="Arial"/>
                <w:lang w:eastAsia="en-GB"/>
              </w:rPr>
              <w:t>0</w:t>
            </w:r>
          </w:p>
        </w:tc>
        <w:tc>
          <w:tcPr>
            <w:tcW w:w="1334" w:type="dxa"/>
            <w:noWrap/>
            <w:vAlign w:val="center"/>
          </w:tcPr>
          <w:p w:rsidR="00AD081B" w:rsidRPr="0066584D" w:rsidRDefault="007D6BEE" w:rsidP="00F22DF4">
            <w:pPr>
              <w:spacing w:after="0"/>
              <w:jc w:val="right"/>
              <w:rPr>
                <w:rFonts w:cs="Arial"/>
                <w:lang w:eastAsia="en-GB"/>
              </w:rPr>
            </w:pPr>
            <w:r>
              <w:rPr>
                <w:rFonts w:cs="Arial"/>
                <w:lang w:eastAsia="en-GB"/>
              </w:rPr>
              <w:t>9.71%</w:t>
            </w:r>
          </w:p>
        </w:tc>
        <w:tc>
          <w:tcPr>
            <w:tcW w:w="1227" w:type="dxa"/>
            <w:noWrap/>
            <w:vAlign w:val="center"/>
          </w:tcPr>
          <w:p w:rsidR="00AD081B" w:rsidRPr="0066584D" w:rsidRDefault="007D6BEE" w:rsidP="00F22DF4">
            <w:pPr>
              <w:spacing w:after="0"/>
              <w:jc w:val="right"/>
              <w:rPr>
                <w:rFonts w:cs="Arial"/>
                <w:lang w:eastAsia="en-GB"/>
              </w:rPr>
            </w:pPr>
            <w:r>
              <w:rPr>
                <w:rFonts w:cs="Arial"/>
                <w:lang w:eastAsia="en-GB"/>
              </w:rPr>
              <w:t>0.478</w:t>
            </w:r>
          </w:p>
        </w:tc>
        <w:tc>
          <w:tcPr>
            <w:tcW w:w="1125" w:type="dxa"/>
            <w:noWrap/>
            <w:vAlign w:val="center"/>
          </w:tcPr>
          <w:p w:rsidR="00AD081B" w:rsidRPr="0066584D" w:rsidRDefault="007D6BEE" w:rsidP="00F22DF4">
            <w:pPr>
              <w:spacing w:after="0"/>
              <w:jc w:val="right"/>
              <w:rPr>
                <w:rFonts w:cs="Arial"/>
                <w:lang w:eastAsia="en-GB"/>
              </w:rPr>
            </w:pPr>
            <w:r>
              <w:rPr>
                <w:rFonts w:cs="Arial"/>
                <w:lang w:eastAsia="en-GB"/>
              </w:rPr>
              <w:t>17.19%</w:t>
            </w:r>
          </w:p>
        </w:tc>
      </w:tr>
      <w:tr w:rsidR="008F3A16" w:rsidTr="001A0E48">
        <w:trPr>
          <w:trHeight w:val="479"/>
        </w:trPr>
        <w:tc>
          <w:tcPr>
            <w:tcW w:w="2160" w:type="dxa"/>
            <w:noWrap/>
            <w:hideMark/>
          </w:tcPr>
          <w:p w:rsidR="00AD081B" w:rsidRPr="0066584D" w:rsidRDefault="007D6BEE" w:rsidP="00AD081B">
            <w:pPr>
              <w:autoSpaceDE/>
              <w:autoSpaceDN/>
              <w:adjustRightInd/>
              <w:spacing w:after="0"/>
              <w:rPr>
                <w:rFonts w:cs="Arial"/>
                <w:lang w:eastAsia="en-GB"/>
              </w:rPr>
            </w:pPr>
            <w:r w:rsidRPr="0066584D">
              <w:rPr>
                <w:rFonts w:cs="Arial"/>
                <w:lang w:eastAsia="en-GB"/>
              </w:rPr>
              <w:t>Transport</w:t>
            </w:r>
            <w:r>
              <w:rPr>
                <w:rFonts w:cs="Arial"/>
                <w:lang w:eastAsia="en-GB"/>
              </w:rPr>
              <w:t xml:space="preserve"> improvement Scheme</w:t>
            </w:r>
          </w:p>
        </w:tc>
        <w:tc>
          <w:tcPr>
            <w:tcW w:w="1663" w:type="dxa"/>
            <w:noWrap/>
            <w:vAlign w:val="center"/>
          </w:tcPr>
          <w:p w:rsidR="00AD081B" w:rsidRPr="0066584D" w:rsidRDefault="007D6BEE" w:rsidP="00F22DF4">
            <w:pPr>
              <w:spacing w:after="0"/>
              <w:jc w:val="right"/>
              <w:rPr>
                <w:rFonts w:cs="Arial"/>
                <w:lang w:eastAsia="en-GB"/>
              </w:rPr>
            </w:pPr>
            <w:r>
              <w:rPr>
                <w:rFonts w:cs="Arial"/>
                <w:lang w:eastAsia="en-GB"/>
              </w:rPr>
              <w:t>29.396</w:t>
            </w:r>
          </w:p>
        </w:tc>
        <w:tc>
          <w:tcPr>
            <w:tcW w:w="1275" w:type="dxa"/>
            <w:noWrap/>
            <w:vAlign w:val="center"/>
          </w:tcPr>
          <w:p w:rsidR="00AD081B" w:rsidRPr="0066584D" w:rsidRDefault="007D6BEE" w:rsidP="00F22DF4">
            <w:pPr>
              <w:spacing w:after="0"/>
              <w:jc w:val="right"/>
              <w:rPr>
                <w:rFonts w:cs="Arial"/>
                <w:lang w:eastAsia="en-GB"/>
              </w:rPr>
            </w:pPr>
            <w:r>
              <w:rPr>
                <w:rFonts w:cs="Arial"/>
                <w:lang w:eastAsia="en-GB"/>
              </w:rPr>
              <w:t>28.793</w:t>
            </w:r>
          </w:p>
        </w:tc>
        <w:tc>
          <w:tcPr>
            <w:tcW w:w="1276" w:type="dxa"/>
            <w:noWrap/>
            <w:vAlign w:val="center"/>
          </w:tcPr>
          <w:p w:rsidR="00AD081B" w:rsidRPr="0066584D" w:rsidRDefault="007D6BEE" w:rsidP="00F22DF4">
            <w:pPr>
              <w:spacing w:after="0"/>
              <w:jc w:val="right"/>
              <w:rPr>
                <w:rFonts w:cs="Arial"/>
                <w:lang w:eastAsia="en-GB"/>
              </w:rPr>
            </w:pPr>
            <w:r>
              <w:rPr>
                <w:rFonts w:cs="Arial"/>
                <w:lang w:eastAsia="en-GB"/>
              </w:rPr>
              <w:t>-0.603</w:t>
            </w:r>
          </w:p>
        </w:tc>
        <w:tc>
          <w:tcPr>
            <w:tcW w:w="1334" w:type="dxa"/>
            <w:noWrap/>
            <w:vAlign w:val="center"/>
          </w:tcPr>
          <w:p w:rsidR="00AD081B" w:rsidRPr="0066584D" w:rsidRDefault="007D6BEE" w:rsidP="00F22DF4">
            <w:pPr>
              <w:spacing w:after="0"/>
              <w:jc w:val="right"/>
              <w:rPr>
                <w:rFonts w:cs="Arial"/>
                <w:lang w:eastAsia="en-GB"/>
              </w:rPr>
            </w:pPr>
            <w:r>
              <w:rPr>
                <w:rFonts w:cs="Arial"/>
                <w:lang w:eastAsia="en-GB"/>
              </w:rPr>
              <w:t>-2.05%</w:t>
            </w:r>
          </w:p>
        </w:tc>
        <w:tc>
          <w:tcPr>
            <w:tcW w:w="1227" w:type="dxa"/>
            <w:noWrap/>
            <w:vAlign w:val="center"/>
          </w:tcPr>
          <w:p w:rsidR="00AD081B" w:rsidRPr="0066584D" w:rsidRDefault="007D6BEE" w:rsidP="00F22DF4">
            <w:pPr>
              <w:spacing w:after="0"/>
              <w:jc w:val="right"/>
              <w:rPr>
                <w:rFonts w:cs="Arial"/>
                <w:lang w:eastAsia="en-GB"/>
              </w:rPr>
            </w:pPr>
            <w:r>
              <w:rPr>
                <w:rFonts w:cs="Arial"/>
                <w:lang w:eastAsia="en-GB"/>
              </w:rPr>
              <w:t>2.248</w:t>
            </w:r>
          </w:p>
        </w:tc>
        <w:tc>
          <w:tcPr>
            <w:tcW w:w="1125" w:type="dxa"/>
            <w:noWrap/>
            <w:vAlign w:val="center"/>
          </w:tcPr>
          <w:p w:rsidR="00AD081B" w:rsidRPr="0066584D" w:rsidRDefault="007D6BEE" w:rsidP="00F22DF4">
            <w:pPr>
              <w:spacing w:after="0"/>
              <w:jc w:val="right"/>
              <w:rPr>
                <w:rFonts w:cs="Arial"/>
                <w:lang w:eastAsia="en-GB"/>
              </w:rPr>
            </w:pPr>
            <w:r>
              <w:rPr>
                <w:rFonts w:cs="Arial"/>
                <w:lang w:eastAsia="en-GB"/>
              </w:rPr>
              <w:t>7.65%</w:t>
            </w:r>
          </w:p>
        </w:tc>
      </w:tr>
      <w:tr w:rsidR="008F3A16" w:rsidTr="001A0E48">
        <w:trPr>
          <w:trHeight w:val="479"/>
        </w:trPr>
        <w:tc>
          <w:tcPr>
            <w:tcW w:w="2160" w:type="dxa"/>
            <w:noWrap/>
            <w:hideMark/>
          </w:tcPr>
          <w:p w:rsidR="00AD081B" w:rsidRPr="0066584D" w:rsidRDefault="007D6BEE" w:rsidP="00AD081B">
            <w:pPr>
              <w:autoSpaceDE/>
              <w:autoSpaceDN/>
              <w:adjustRightInd/>
              <w:spacing w:after="0"/>
              <w:rPr>
                <w:rFonts w:cs="Arial"/>
                <w:lang w:eastAsia="en-GB"/>
              </w:rPr>
            </w:pPr>
            <w:r w:rsidRPr="0066584D">
              <w:rPr>
                <w:rFonts w:cs="Arial"/>
                <w:lang w:eastAsia="en-GB"/>
              </w:rPr>
              <w:t>Highways</w:t>
            </w:r>
            <w:r>
              <w:rPr>
                <w:rFonts w:cs="Arial"/>
                <w:lang w:eastAsia="en-GB"/>
              </w:rPr>
              <w:t xml:space="preserve"> Maintenance</w:t>
            </w:r>
          </w:p>
        </w:tc>
        <w:tc>
          <w:tcPr>
            <w:tcW w:w="1663" w:type="dxa"/>
            <w:noWrap/>
            <w:vAlign w:val="center"/>
          </w:tcPr>
          <w:p w:rsidR="00AD081B" w:rsidRPr="0066584D" w:rsidRDefault="007D6BEE" w:rsidP="00F22DF4">
            <w:pPr>
              <w:spacing w:after="0"/>
              <w:jc w:val="right"/>
              <w:rPr>
                <w:rFonts w:cs="Arial"/>
                <w:lang w:eastAsia="en-GB"/>
              </w:rPr>
            </w:pPr>
            <w:r>
              <w:rPr>
                <w:rFonts w:cs="Arial"/>
                <w:lang w:eastAsia="en-GB"/>
              </w:rPr>
              <w:t>54.993</w:t>
            </w:r>
          </w:p>
        </w:tc>
        <w:tc>
          <w:tcPr>
            <w:tcW w:w="1275" w:type="dxa"/>
            <w:noWrap/>
            <w:vAlign w:val="center"/>
          </w:tcPr>
          <w:p w:rsidR="00AD081B" w:rsidRPr="0066584D" w:rsidRDefault="007D6BEE" w:rsidP="00F22DF4">
            <w:pPr>
              <w:spacing w:after="0"/>
              <w:jc w:val="right"/>
              <w:rPr>
                <w:rFonts w:cs="Arial"/>
                <w:lang w:eastAsia="en-GB"/>
              </w:rPr>
            </w:pPr>
            <w:r>
              <w:rPr>
                <w:rFonts w:cs="Arial"/>
                <w:lang w:eastAsia="en-GB"/>
              </w:rPr>
              <w:t>54.993</w:t>
            </w:r>
          </w:p>
        </w:tc>
        <w:tc>
          <w:tcPr>
            <w:tcW w:w="1276" w:type="dxa"/>
            <w:noWrap/>
            <w:vAlign w:val="center"/>
          </w:tcPr>
          <w:p w:rsidR="00AD081B" w:rsidRPr="0066584D" w:rsidRDefault="007D6BEE" w:rsidP="00F22DF4">
            <w:pPr>
              <w:spacing w:after="0"/>
              <w:jc w:val="right"/>
              <w:rPr>
                <w:rFonts w:cs="Arial"/>
                <w:lang w:eastAsia="en-GB"/>
              </w:rPr>
            </w:pPr>
            <w:r>
              <w:rPr>
                <w:rFonts w:cs="Arial"/>
                <w:lang w:eastAsia="en-GB"/>
              </w:rPr>
              <w:t>0.000</w:t>
            </w:r>
          </w:p>
        </w:tc>
        <w:tc>
          <w:tcPr>
            <w:tcW w:w="1334" w:type="dxa"/>
            <w:noWrap/>
            <w:vAlign w:val="center"/>
          </w:tcPr>
          <w:p w:rsidR="00AD081B" w:rsidRPr="0066584D" w:rsidRDefault="007D6BEE" w:rsidP="00F22DF4">
            <w:pPr>
              <w:spacing w:after="0"/>
              <w:jc w:val="right"/>
              <w:rPr>
                <w:rFonts w:cs="Arial"/>
                <w:lang w:eastAsia="en-GB"/>
              </w:rPr>
            </w:pPr>
            <w:r>
              <w:rPr>
                <w:rFonts w:cs="Arial"/>
                <w:lang w:eastAsia="en-GB"/>
              </w:rPr>
              <w:t>0.00%</w:t>
            </w:r>
          </w:p>
        </w:tc>
        <w:tc>
          <w:tcPr>
            <w:tcW w:w="1227" w:type="dxa"/>
            <w:noWrap/>
            <w:vAlign w:val="center"/>
          </w:tcPr>
          <w:p w:rsidR="00AD081B" w:rsidRPr="0066584D" w:rsidRDefault="007D6BEE" w:rsidP="00F22DF4">
            <w:pPr>
              <w:spacing w:after="0"/>
              <w:jc w:val="right"/>
              <w:rPr>
                <w:rFonts w:cs="Arial"/>
                <w:lang w:eastAsia="en-GB"/>
              </w:rPr>
            </w:pPr>
            <w:r>
              <w:rPr>
                <w:rFonts w:cs="Arial"/>
                <w:lang w:eastAsia="en-GB"/>
              </w:rPr>
              <w:t>16.216</w:t>
            </w:r>
          </w:p>
        </w:tc>
        <w:tc>
          <w:tcPr>
            <w:tcW w:w="1125" w:type="dxa"/>
            <w:noWrap/>
            <w:vAlign w:val="center"/>
          </w:tcPr>
          <w:p w:rsidR="00AD081B" w:rsidRPr="0066584D" w:rsidRDefault="007D6BEE" w:rsidP="00F22DF4">
            <w:pPr>
              <w:spacing w:after="0"/>
              <w:jc w:val="right"/>
              <w:rPr>
                <w:rFonts w:cs="Arial"/>
                <w:lang w:eastAsia="en-GB"/>
              </w:rPr>
            </w:pPr>
            <w:r>
              <w:rPr>
                <w:rFonts w:cs="Arial"/>
                <w:lang w:eastAsia="en-GB"/>
              </w:rPr>
              <w:t>29.49%</w:t>
            </w:r>
          </w:p>
        </w:tc>
      </w:tr>
      <w:tr w:rsidR="008F3A16" w:rsidTr="001A0E48">
        <w:trPr>
          <w:trHeight w:val="479"/>
        </w:trPr>
        <w:tc>
          <w:tcPr>
            <w:tcW w:w="2160" w:type="dxa"/>
            <w:noWrap/>
            <w:hideMark/>
          </w:tcPr>
          <w:p w:rsidR="00AD081B" w:rsidRPr="0066584D" w:rsidRDefault="007D6BEE" w:rsidP="00F22DF4">
            <w:pPr>
              <w:autoSpaceDE/>
              <w:autoSpaceDN/>
              <w:adjustRightInd/>
              <w:spacing w:after="0"/>
              <w:jc w:val="left"/>
              <w:rPr>
                <w:rFonts w:cs="Arial"/>
                <w:b/>
                <w:bCs/>
                <w:lang w:eastAsia="en-GB"/>
              </w:rPr>
            </w:pPr>
            <w:r w:rsidRPr="0066584D">
              <w:rPr>
                <w:rFonts w:cs="Arial"/>
                <w:b/>
                <w:bCs/>
                <w:lang w:eastAsia="en-GB"/>
              </w:rPr>
              <w:t>Totals</w:t>
            </w:r>
          </w:p>
        </w:tc>
        <w:tc>
          <w:tcPr>
            <w:tcW w:w="1663" w:type="dxa"/>
            <w:noWrap/>
            <w:vAlign w:val="center"/>
          </w:tcPr>
          <w:p w:rsidR="00AD081B" w:rsidRPr="0066584D" w:rsidRDefault="007D6BEE" w:rsidP="00F22DF4">
            <w:pPr>
              <w:spacing w:after="0"/>
              <w:jc w:val="right"/>
              <w:rPr>
                <w:rFonts w:cs="Arial"/>
                <w:b/>
                <w:bCs/>
                <w:lang w:eastAsia="en-GB"/>
              </w:rPr>
            </w:pPr>
            <w:r>
              <w:rPr>
                <w:rFonts w:cs="Arial"/>
                <w:b/>
                <w:bCs/>
                <w:lang w:eastAsia="en-GB"/>
              </w:rPr>
              <w:t>158.833</w:t>
            </w:r>
          </w:p>
        </w:tc>
        <w:tc>
          <w:tcPr>
            <w:tcW w:w="1275" w:type="dxa"/>
            <w:noWrap/>
            <w:vAlign w:val="center"/>
          </w:tcPr>
          <w:p w:rsidR="00AD081B" w:rsidRPr="0066584D" w:rsidRDefault="007D6BEE" w:rsidP="00F22DF4">
            <w:pPr>
              <w:spacing w:after="0"/>
              <w:jc w:val="right"/>
              <w:rPr>
                <w:rFonts w:cs="Arial"/>
                <w:b/>
                <w:bCs/>
                <w:lang w:eastAsia="en-GB"/>
              </w:rPr>
            </w:pPr>
            <w:r>
              <w:rPr>
                <w:rFonts w:cs="Arial"/>
                <w:b/>
                <w:bCs/>
                <w:lang w:eastAsia="en-GB"/>
              </w:rPr>
              <w:t>15</w:t>
            </w:r>
            <w:r>
              <w:rPr>
                <w:rFonts w:cs="Arial"/>
                <w:b/>
                <w:bCs/>
                <w:lang w:eastAsia="en-GB"/>
              </w:rPr>
              <w:t>7.612</w:t>
            </w:r>
          </w:p>
        </w:tc>
        <w:tc>
          <w:tcPr>
            <w:tcW w:w="1276" w:type="dxa"/>
            <w:noWrap/>
            <w:vAlign w:val="center"/>
          </w:tcPr>
          <w:p w:rsidR="00AD081B" w:rsidRPr="0066584D" w:rsidRDefault="007D6BEE" w:rsidP="00F22DF4">
            <w:pPr>
              <w:spacing w:after="0"/>
              <w:jc w:val="right"/>
              <w:rPr>
                <w:rFonts w:cs="Arial"/>
                <w:b/>
                <w:bCs/>
                <w:lang w:eastAsia="en-GB"/>
              </w:rPr>
            </w:pPr>
            <w:r>
              <w:rPr>
                <w:rFonts w:cs="Arial"/>
                <w:b/>
                <w:bCs/>
                <w:lang w:eastAsia="en-GB"/>
              </w:rPr>
              <w:t>-</w:t>
            </w:r>
            <w:r>
              <w:rPr>
                <w:rFonts w:cs="Arial"/>
                <w:b/>
                <w:bCs/>
                <w:lang w:eastAsia="en-GB"/>
              </w:rPr>
              <w:t>1.221</w:t>
            </w:r>
          </w:p>
        </w:tc>
        <w:tc>
          <w:tcPr>
            <w:tcW w:w="1334" w:type="dxa"/>
            <w:noWrap/>
            <w:vAlign w:val="center"/>
          </w:tcPr>
          <w:p w:rsidR="00AD081B" w:rsidRPr="00DE6181" w:rsidRDefault="007D6BEE" w:rsidP="00F22DF4">
            <w:pPr>
              <w:spacing w:after="0"/>
              <w:jc w:val="right"/>
              <w:rPr>
                <w:rFonts w:cs="Arial"/>
                <w:b/>
                <w:bCs/>
                <w:lang w:eastAsia="en-GB"/>
              </w:rPr>
            </w:pPr>
            <w:r>
              <w:rPr>
                <w:rFonts w:cs="Arial"/>
                <w:b/>
                <w:bCs/>
                <w:lang w:eastAsia="en-GB"/>
              </w:rPr>
              <w:t>-0.</w:t>
            </w:r>
            <w:r>
              <w:rPr>
                <w:rFonts w:cs="Arial"/>
                <w:b/>
                <w:bCs/>
                <w:lang w:eastAsia="en-GB"/>
              </w:rPr>
              <w:t>77</w:t>
            </w:r>
            <w:r>
              <w:rPr>
                <w:rFonts w:cs="Arial"/>
                <w:b/>
                <w:bCs/>
                <w:lang w:eastAsia="en-GB"/>
              </w:rPr>
              <w:t>%</w:t>
            </w:r>
          </w:p>
        </w:tc>
        <w:tc>
          <w:tcPr>
            <w:tcW w:w="1227" w:type="dxa"/>
            <w:noWrap/>
            <w:vAlign w:val="center"/>
          </w:tcPr>
          <w:p w:rsidR="00AD081B" w:rsidRPr="0066584D" w:rsidRDefault="007D6BEE" w:rsidP="00F22DF4">
            <w:pPr>
              <w:spacing w:after="0"/>
              <w:jc w:val="right"/>
              <w:rPr>
                <w:rFonts w:cs="Arial"/>
                <w:b/>
                <w:bCs/>
                <w:lang w:eastAsia="en-GB"/>
              </w:rPr>
            </w:pPr>
            <w:r>
              <w:rPr>
                <w:rFonts w:cs="Arial"/>
                <w:b/>
                <w:bCs/>
                <w:lang w:eastAsia="en-GB"/>
              </w:rPr>
              <w:t>39.178</w:t>
            </w:r>
          </w:p>
        </w:tc>
        <w:tc>
          <w:tcPr>
            <w:tcW w:w="1125" w:type="dxa"/>
            <w:noWrap/>
            <w:vAlign w:val="center"/>
          </w:tcPr>
          <w:p w:rsidR="00AD081B" w:rsidRPr="0066584D" w:rsidRDefault="007D6BEE" w:rsidP="00F22DF4">
            <w:pPr>
              <w:spacing w:after="0"/>
              <w:jc w:val="right"/>
              <w:rPr>
                <w:rFonts w:cs="Arial"/>
                <w:b/>
                <w:bCs/>
                <w:lang w:eastAsia="en-GB"/>
              </w:rPr>
            </w:pPr>
            <w:r>
              <w:rPr>
                <w:rFonts w:cs="Arial"/>
                <w:b/>
                <w:bCs/>
                <w:lang w:eastAsia="en-GB"/>
              </w:rPr>
              <w:t>24.67%</w:t>
            </w:r>
          </w:p>
        </w:tc>
      </w:tr>
    </w:tbl>
    <w:p w:rsidR="00A16492" w:rsidRDefault="007D6BEE" w:rsidP="00853732">
      <w:pPr>
        <w:autoSpaceDE/>
        <w:autoSpaceDN/>
        <w:adjustRightInd/>
        <w:spacing w:after="0"/>
        <w:rPr>
          <w:rFonts w:cs="Arial"/>
          <w:lang w:eastAsia="en-GB"/>
        </w:rPr>
      </w:pPr>
    </w:p>
    <w:p w:rsidR="00853732" w:rsidRPr="00862428" w:rsidRDefault="007D6BEE" w:rsidP="00853732">
      <w:pPr>
        <w:autoSpaceDE/>
        <w:autoSpaceDN/>
        <w:adjustRightInd/>
        <w:spacing w:after="0"/>
        <w:rPr>
          <w:rFonts w:cs="Arial"/>
          <w:lang w:eastAsia="en-GB"/>
        </w:rPr>
      </w:pPr>
      <w:r>
        <w:rPr>
          <w:rFonts w:cs="Arial"/>
          <w:lang w:eastAsia="en-GB"/>
        </w:rPr>
        <w:t>Table 2 reports that actual spend to date accounts for c25% of the total programme delivery expected in 2017/18,</w:t>
      </w:r>
      <w:r>
        <w:rPr>
          <w:rFonts w:cs="Arial"/>
          <w:lang w:eastAsia="en-GB"/>
        </w:rPr>
        <w:t xml:space="preserve"> which gives assurance that the expected programme of delivery is on target.  The Quarter 2 monitoring report will be produced on a multi-year basis with updated forecasts.  This will provide a clearer view of the entire programme.</w:t>
      </w:r>
    </w:p>
    <w:p w:rsidR="00853732" w:rsidRDefault="007D6BEE" w:rsidP="00853732">
      <w:pPr>
        <w:autoSpaceDE/>
        <w:autoSpaceDN/>
        <w:adjustRightInd/>
        <w:spacing w:after="0"/>
        <w:jc w:val="left"/>
        <w:rPr>
          <w:rFonts w:cs="Arial"/>
          <w:b/>
          <w:lang w:eastAsia="en-GB"/>
        </w:rPr>
      </w:pPr>
    </w:p>
    <w:p w:rsidR="00F22DF4" w:rsidRDefault="007D6BEE" w:rsidP="00F22DF4">
      <w:pPr>
        <w:autoSpaceDE/>
        <w:autoSpaceDN/>
        <w:adjustRightInd/>
        <w:spacing w:after="0"/>
        <w:rPr>
          <w:rFonts w:cs="Arial"/>
          <w:b/>
          <w:lang w:eastAsia="en-GB"/>
        </w:rPr>
      </w:pPr>
      <w:r>
        <w:rPr>
          <w:rFonts w:cs="Arial"/>
          <w:b/>
          <w:lang w:eastAsia="en-GB"/>
        </w:rPr>
        <w:t>3</w:t>
      </w:r>
      <w:r w:rsidRPr="00F22DF4">
        <w:rPr>
          <w:rFonts w:cs="Arial"/>
          <w:b/>
          <w:lang w:eastAsia="en-GB"/>
        </w:rPr>
        <w:t xml:space="preserve">. </w:t>
      </w:r>
      <w:r>
        <w:rPr>
          <w:rFonts w:cs="Arial"/>
          <w:b/>
          <w:lang w:eastAsia="en-GB"/>
        </w:rPr>
        <w:tab/>
        <w:t xml:space="preserve">Detailed Variance </w:t>
      </w:r>
      <w:r>
        <w:rPr>
          <w:rFonts w:cs="Arial"/>
          <w:b/>
          <w:lang w:eastAsia="en-GB"/>
        </w:rPr>
        <w:t>Analysis</w:t>
      </w:r>
    </w:p>
    <w:p w:rsidR="00853732" w:rsidRDefault="007D6BEE" w:rsidP="00853732">
      <w:pPr>
        <w:autoSpaceDE/>
        <w:autoSpaceDN/>
        <w:adjustRightInd/>
        <w:spacing w:after="0"/>
        <w:jc w:val="left"/>
        <w:rPr>
          <w:rFonts w:cs="Arial"/>
          <w:lang w:eastAsia="en-GB"/>
        </w:rPr>
      </w:pPr>
    </w:p>
    <w:p w:rsidR="00853732" w:rsidRDefault="007D6BEE" w:rsidP="00F22DF4">
      <w:pPr>
        <w:spacing w:after="0"/>
        <w:rPr>
          <w:rFonts w:cs="Arial"/>
          <w:b/>
          <w:szCs w:val="20"/>
        </w:rPr>
      </w:pPr>
      <w:r>
        <w:rPr>
          <w:rFonts w:cs="Arial"/>
          <w:b/>
          <w:szCs w:val="20"/>
        </w:rPr>
        <w:t>3.1 Schools</w:t>
      </w:r>
    </w:p>
    <w:p w:rsidR="00F22DF4" w:rsidRDefault="007D6BEE" w:rsidP="00F22DF4">
      <w:pPr>
        <w:spacing w:after="0"/>
        <w:rPr>
          <w:rFonts w:cs="Arial"/>
          <w:b/>
          <w:szCs w:val="20"/>
        </w:rPr>
      </w:pPr>
    </w:p>
    <w:p w:rsidR="00853732" w:rsidRDefault="007D6BEE" w:rsidP="00F22DF4">
      <w:pPr>
        <w:spacing w:after="0"/>
        <w:rPr>
          <w:rFonts w:cs="Arial"/>
          <w:b/>
        </w:rPr>
      </w:pPr>
      <w:r>
        <w:rPr>
          <w:rFonts w:cs="Arial"/>
          <w:b/>
        </w:rPr>
        <w:t>Spend less than budget</w:t>
      </w:r>
      <w:r w:rsidRPr="00892025">
        <w:rPr>
          <w:rFonts w:cs="Arial"/>
          <w:b/>
        </w:rPr>
        <w:t xml:space="preserve"> of £2.562m is forecast against the current </w:t>
      </w:r>
      <w:r>
        <w:rPr>
          <w:rFonts w:cs="Arial"/>
          <w:b/>
        </w:rPr>
        <w:t>2017/</w:t>
      </w:r>
      <w:r w:rsidRPr="00892025">
        <w:rPr>
          <w:rFonts w:cs="Arial"/>
          <w:b/>
        </w:rPr>
        <w:t>18 re</w:t>
      </w:r>
      <w:r>
        <w:rPr>
          <w:rFonts w:cs="Arial"/>
          <w:b/>
        </w:rPr>
        <w:t>-</w:t>
      </w:r>
      <w:r w:rsidRPr="00892025">
        <w:rPr>
          <w:rFonts w:cs="Arial"/>
          <w:b/>
        </w:rPr>
        <w:t>profiled capital programme. This can be summarised as follows:</w:t>
      </w:r>
    </w:p>
    <w:p w:rsidR="00853732" w:rsidRPr="00892025" w:rsidRDefault="007D6BEE" w:rsidP="00F22DF4">
      <w:pPr>
        <w:spacing w:after="0"/>
        <w:rPr>
          <w:rFonts w:cs="Arial"/>
          <w:b/>
        </w:rPr>
      </w:pPr>
    </w:p>
    <w:p w:rsidR="00853732" w:rsidRDefault="007D6BEE" w:rsidP="00F22DF4">
      <w:pPr>
        <w:pStyle w:val="ListParagraph"/>
        <w:numPr>
          <w:ilvl w:val="0"/>
          <w:numId w:val="30"/>
        </w:numPr>
        <w:spacing w:after="0"/>
        <w:rPr>
          <w:rFonts w:cs="Arial"/>
          <w:color w:val="auto"/>
        </w:rPr>
      </w:pPr>
      <w:r>
        <w:rPr>
          <w:rFonts w:cs="Arial"/>
          <w:color w:val="auto"/>
        </w:rPr>
        <w:t xml:space="preserve">£0.120m of </w:t>
      </w:r>
      <w:r w:rsidRPr="00E739D7">
        <w:rPr>
          <w:rFonts w:cs="Arial"/>
          <w:color w:val="auto"/>
        </w:rPr>
        <w:t>overspend</w:t>
      </w:r>
      <w:r>
        <w:rPr>
          <w:rFonts w:cs="Arial"/>
          <w:color w:val="auto"/>
        </w:rPr>
        <w:t>s</w:t>
      </w:r>
      <w:r w:rsidRPr="00E739D7">
        <w:rPr>
          <w:rFonts w:cs="Arial"/>
          <w:color w:val="auto"/>
        </w:rPr>
        <w:t xml:space="preserve"> on 2017/18 budgets indicated by Proj</w:t>
      </w:r>
      <w:r>
        <w:rPr>
          <w:rFonts w:cs="Arial"/>
          <w:color w:val="auto"/>
        </w:rPr>
        <w:t>e</w:t>
      </w:r>
      <w:r>
        <w:rPr>
          <w:rFonts w:cs="Arial"/>
          <w:color w:val="auto"/>
        </w:rPr>
        <w:t>ct Manager forecasts on PPMS. Thi</w:t>
      </w:r>
      <w:r>
        <w:rPr>
          <w:rFonts w:cs="Arial"/>
          <w:color w:val="auto"/>
        </w:rPr>
        <w:t>rty three</w:t>
      </w:r>
      <w:r w:rsidRPr="00E739D7">
        <w:rPr>
          <w:rFonts w:cs="Arial"/>
          <w:color w:val="auto"/>
        </w:rPr>
        <w:t xml:space="preserve"> projects </w:t>
      </w:r>
      <w:r>
        <w:rPr>
          <w:rFonts w:cs="Arial"/>
          <w:color w:val="auto"/>
        </w:rPr>
        <w:t xml:space="preserve">are </w:t>
      </w:r>
      <w:r w:rsidRPr="00E739D7">
        <w:rPr>
          <w:rFonts w:cs="Arial"/>
          <w:color w:val="auto"/>
        </w:rPr>
        <w:t>forecast</w:t>
      </w:r>
      <w:r>
        <w:rPr>
          <w:rFonts w:cs="Arial"/>
          <w:color w:val="auto"/>
        </w:rPr>
        <w:t>ing</w:t>
      </w:r>
      <w:r w:rsidRPr="00E739D7">
        <w:rPr>
          <w:rFonts w:cs="Arial"/>
          <w:color w:val="auto"/>
        </w:rPr>
        <w:t xml:space="preserve"> small overspends of less than £0.001m. The largest single </w:t>
      </w:r>
      <w:r>
        <w:rPr>
          <w:rFonts w:cs="Arial"/>
          <w:color w:val="auto"/>
        </w:rPr>
        <w:t xml:space="preserve">forecast </w:t>
      </w:r>
      <w:r w:rsidRPr="00E739D7">
        <w:rPr>
          <w:rFonts w:cs="Arial"/>
          <w:color w:val="auto"/>
        </w:rPr>
        <w:t xml:space="preserve">overspend is on the Ribbleton </w:t>
      </w:r>
      <w:r w:rsidRPr="00E739D7">
        <w:rPr>
          <w:rFonts w:cs="Arial"/>
          <w:color w:val="auto"/>
        </w:rPr>
        <w:lastRenderedPageBreak/>
        <w:t xml:space="preserve">Avenue re-felting project which is forecast to overspend by £0.020m due to the tender coming in </w:t>
      </w:r>
      <w:r>
        <w:rPr>
          <w:rFonts w:cs="Arial"/>
          <w:color w:val="auto"/>
        </w:rPr>
        <w:t>higher</w:t>
      </w:r>
      <w:r>
        <w:rPr>
          <w:rFonts w:cs="Arial"/>
          <w:color w:val="auto"/>
        </w:rPr>
        <w:t xml:space="preserve"> than anticipated.</w:t>
      </w:r>
    </w:p>
    <w:p w:rsidR="00853732" w:rsidRPr="00E739D7" w:rsidRDefault="007D6BEE" w:rsidP="00F22DF4">
      <w:pPr>
        <w:pStyle w:val="ListParagraph"/>
        <w:spacing w:after="0"/>
        <w:rPr>
          <w:rFonts w:cs="Arial"/>
          <w:color w:val="auto"/>
        </w:rPr>
      </w:pPr>
    </w:p>
    <w:p w:rsidR="00282724" w:rsidRDefault="007D6BEE" w:rsidP="00F22DF4">
      <w:pPr>
        <w:pStyle w:val="ListParagraph"/>
        <w:numPr>
          <w:ilvl w:val="0"/>
          <w:numId w:val="30"/>
        </w:numPr>
        <w:spacing w:after="0"/>
        <w:rPr>
          <w:rFonts w:cs="Arial"/>
          <w:color w:val="auto"/>
        </w:rPr>
      </w:pPr>
      <w:r>
        <w:rPr>
          <w:rFonts w:cs="Arial"/>
          <w:color w:val="auto"/>
        </w:rPr>
        <w:t xml:space="preserve">There is a total of </w:t>
      </w:r>
      <w:r>
        <w:rPr>
          <w:rFonts w:cs="Arial"/>
          <w:color w:val="auto"/>
        </w:rPr>
        <w:t xml:space="preserve">£1.009m of </w:t>
      </w:r>
      <w:r w:rsidRPr="00E739D7">
        <w:rPr>
          <w:rFonts w:cs="Arial"/>
          <w:color w:val="auto"/>
        </w:rPr>
        <w:t xml:space="preserve">underspends on 2017/18 budgets forecast by project managers on PPMS across 12 projects. </w:t>
      </w:r>
    </w:p>
    <w:p w:rsidR="00282724" w:rsidRPr="00282724" w:rsidRDefault="007D6BEE" w:rsidP="00282724">
      <w:pPr>
        <w:pStyle w:val="ListParagraph"/>
        <w:rPr>
          <w:rFonts w:cs="Arial"/>
          <w:color w:val="auto"/>
        </w:rPr>
      </w:pPr>
    </w:p>
    <w:p w:rsidR="00282724" w:rsidRDefault="007D6BEE" w:rsidP="00282724">
      <w:pPr>
        <w:pStyle w:val="ListParagraph"/>
        <w:spacing w:after="0"/>
        <w:rPr>
          <w:rFonts w:cs="Arial"/>
          <w:color w:val="auto"/>
        </w:rPr>
      </w:pPr>
      <w:r w:rsidRPr="00282724">
        <w:rPr>
          <w:rFonts w:cs="Arial"/>
          <w:color w:val="auto"/>
        </w:rPr>
        <w:t>The total forecast underspend is largely due to the forecast insurance monies to be received relating to the Leyland St Mary's fire est</w:t>
      </w:r>
      <w:r w:rsidRPr="00282724">
        <w:rPr>
          <w:rFonts w:cs="Arial"/>
          <w:color w:val="auto"/>
        </w:rPr>
        <w:t xml:space="preserve">imated at £0.600m, not profiled in 2017/18. </w:t>
      </w:r>
    </w:p>
    <w:p w:rsidR="00282724" w:rsidRDefault="007D6BEE" w:rsidP="00282724">
      <w:pPr>
        <w:pStyle w:val="ListParagraph"/>
        <w:spacing w:after="0"/>
        <w:rPr>
          <w:rFonts w:cs="Arial"/>
          <w:color w:val="auto"/>
        </w:rPr>
      </w:pPr>
    </w:p>
    <w:p w:rsidR="00853732" w:rsidRPr="00282724" w:rsidRDefault="007D6BEE" w:rsidP="00282724">
      <w:pPr>
        <w:pStyle w:val="ListParagraph"/>
        <w:spacing w:after="0"/>
        <w:rPr>
          <w:rFonts w:cs="Arial"/>
          <w:color w:val="auto"/>
        </w:rPr>
      </w:pPr>
      <w:r w:rsidRPr="00282724">
        <w:rPr>
          <w:rFonts w:cs="Arial"/>
          <w:color w:val="auto"/>
        </w:rPr>
        <w:t xml:space="preserve">Other notable variances include the Leyland Northbrook project originally forecast to be on site has been cancelled due to tender issues, </w:t>
      </w:r>
      <w:r>
        <w:rPr>
          <w:rFonts w:cs="Arial"/>
          <w:color w:val="auto"/>
        </w:rPr>
        <w:t>resulting in</w:t>
      </w:r>
      <w:r w:rsidRPr="00282724">
        <w:rPr>
          <w:rFonts w:cs="Arial"/>
          <w:color w:val="auto"/>
        </w:rPr>
        <w:t xml:space="preserve"> an underspend £0.204m against the 2017/18 budget. This has </w:t>
      </w:r>
      <w:r w:rsidRPr="00282724">
        <w:rPr>
          <w:rFonts w:cs="Arial"/>
          <w:color w:val="auto"/>
        </w:rPr>
        <w:t>been re-tendered in 2017/18 and the funding will be reallocated to the new project. The St George's Basic Need project is estimate to come in under budget by approximately £0.080m.</w:t>
      </w:r>
    </w:p>
    <w:p w:rsidR="00853732" w:rsidRPr="00E739D7" w:rsidRDefault="007D6BEE" w:rsidP="00F22DF4">
      <w:pPr>
        <w:spacing w:after="0"/>
        <w:rPr>
          <w:rFonts w:cs="Arial"/>
          <w:color w:val="auto"/>
        </w:rPr>
      </w:pPr>
    </w:p>
    <w:p w:rsidR="00853732" w:rsidRDefault="007D6BEE" w:rsidP="00853732">
      <w:pPr>
        <w:pStyle w:val="ListParagraph"/>
        <w:numPr>
          <w:ilvl w:val="0"/>
          <w:numId w:val="30"/>
        </w:numPr>
        <w:spacing w:after="0"/>
        <w:rPr>
          <w:rFonts w:cs="Arial"/>
          <w:color w:val="auto"/>
        </w:rPr>
      </w:pPr>
      <w:r>
        <w:rPr>
          <w:rFonts w:cs="Arial"/>
        </w:rPr>
        <w:t>Spend less than budget of £3.479m</w:t>
      </w:r>
      <w:r w:rsidRPr="00E739D7">
        <w:rPr>
          <w:rFonts w:cs="Arial"/>
        </w:rPr>
        <w:t xml:space="preserve"> is forecast due to deliv</w:t>
      </w:r>
      <w:r>
        <w:rPr>
          <w:rFonts w:cs="Arial"/>
        </w:rPr>
        <w:t>ery ahead of the</w:t>
      </w:r>
      <w:r>
        <w:rPr>
          <w:rFonts w:cs="Arial"/>
        </w:rPr>
        <w:t xml:space="preserve"> profiled delivery programme</w:t>
      </w:r>
      <w:r w:rsidRPr="00E739D7">
        <w:rPr>
          <w:rFonts w:cs="Arial"/>
        </w:rPr>
        <w:t xml:space="preserve"> during 2016/17 across 25 projects</w:t>
      </w:r>
      <w:r>
        <w:rPr>
          <w:rFonts w:cs="Arial"/>
        </w:rPr>
        <w:t>.  T</w:t>
      </w:r>
      <w:r w:rsidRPr="00E739D7">
        <w:rPr>
          <w:rFonts w:cs="Arial"/>
        </w:rPr>
        <w:t>his early de</w:t>
      </w:r>
      <w:r>
        <w:rPr>
          <w:rFonts w:cs="Arial"/>
        </w:rPr>
        <w:t>livery resulted in expenditure ahead of schedule</w:t>
      </w:r>
      <w:r w:rsidRPr="00E739D7">
        <w:rPr>
          <w:rFonts w:cs="Arial"/>
        </w:rPr>
        <w:t xml:space="preserve"> in 2016/17 and consequently </w:t>
      </w:r>
      <w:r>
        <w:rPr>
          <w:rFonts w:cs="Arial"/>
        </w:rPr>
        <w:t>lower expenditure in later years.</w:t>
      </w:r>
      <w:r w:rsidRPr="00E739D7">
        <w:rPr>
          <w:rFonts w:cs="Arial"/>
          <w:color w:val="auto"/>
        </w:rPr>
        <w:t xml:space="preserve">  Notably,</w:t>
      </w:r>
      <w:r>
        <w:rPr>
          <w:rFonts w:cs="Arial"/>
          <w:color w:val="auto"/>
        </w:rPr>
        <w:t xml:space="preserve"> this relates to</w:t>
      </w:r>
      <w:r w:rsidRPr="00E739D7">
        <w:rPr>
          <w:rFonts w:cs="Arial"/>
          <w:color w:val="auto"/>
        </w:rPr>
        <w:t xml:space="preserve"> </w:t>
      </w:r>
      <w:r>
        <w:rPr>
          <w:rFonts w:cs="Arial"/>
          <w:color w:val="auto"/>
        </w:rPr>
        <w:t>£1.7m expenditure in 2016/17 for Weeton P</w:t>
      </w:r>
      <w:r>
        <w:rPr>
          <w:rFonts w:cs="Arial"/>
          <w:color w:val="auto"/>
        </w:rPr>
        <w:t xml:space="preserve">rimary.  In addition, </w:t>
      </w:r>
      <w:r w:rsidRPr="00E739D7">
        <w:rPr>
          <w:rFonts w:cs="Arial"/>
          <w:color w:val="auto"/>
        </w:rPr>
        <w:t>Chorley Trinity, Chorley St George and Balshaw Lane have in total spent £0.8m more than programmed within 2016/17.</w:t>
      </w:r>
    </w:p>
    <w:p w:rsidR="00282724" w:rsidRPr="00282724" w:rsidRDefault="007D6BEE" w:rsidP="00282724">
      <w:pPr>
        <w:pStyle w:val="ListParagraph"/>
        <w:spacing w:after="0"/>
        <w:rPr>
          <w:rFonts w:cs="Arial"/>
          <w:color w:val="auto"/>
        </w:rPr>
      </w:pPr>
    </w:p>
    <w:p w:rsidR="00282724" w:rsidRDefault="007D6BEE" w:rsidP="00853732">
      <w:pPr>
        <w:pStyle w:val="ListParagraph"/>
        <w:numPr>
          <w:ilvl w:val="0"/>
          <w:numId w:val="30"/>
        </w:numPr>
        <w:rPr>
          <w:rFonts w:cs="Arial"/>
          <w:color w:val="auto"/>
        </w:rPr>
      </w:pPr>
      <w:r w:rsidRPr="00A42023">
        <w:rPr>
          <w:rFonts w:cs="Arial"/>
          <w:color w:val="auto"/>
        </w:rPr>
        <w:t>£</w:t>
      </w:r>
      <w:r>
        <w:rPr>
          <w:rFonts w:cs="Arial"/>
          <w:color w:val="auto"/>
        </w:rPr>
        <w:t xml:space="preserve">2.734m of </w:t>
      </w:r>
      <w:r w:rsidRPr="00A42023">
        <w:rPr>
          <w:rFonts w:cs="Arial"/>
          <w:color w:val="auto"/>
        </w:rPr>
        <w:t>slippage</w:t>
      </w:r>
      <w:r>
        <w:rPr>
          <w:rFonts w:cs="Arial"/>
          <w:color w:val="auto"/>
        </w:rPr>
        <w:t xml:space="preserve"> from 2016/17 is anticipated; this is</w:t>
      </w:r>
      <w:r w:rsidRPr="00A42023">
        <w:rPr>
          <w:rFonts w:cs="Arial"/>
          <w:color w:val="auto"/>
        </w:rPr>
        <w:t xml:space="preserve"> associated with the difficulty in estimating the phasing of e</w:t>
      </w:r>
      <w:r w:rsidRPr="00A42023">
        <w:rPr>
          <w:rFonts w:cs="Arial"/>
          <w:color w:val="auto"/>
        </w:rPr>
        <w:t>xpenditure a</w:t>
      </w:r>
      <w:r>
        <w:rPr>
          <w:rFonts w:cs="Arial"/>
          <w:color w:val="auto"/>
        </w:rPr>
        <w:t xml:space="preserve">t the outset of projects. </w:t>
      </w:r>
    </w:p>
    <w:p w:rsidR="00282724" w:rsidRPr="00282724" w:rsidRDefault="007D6BEE" w:rsidP="00282724">
      <w:pPr>
        <w:pStyle w:val="ListParagraph"/>
        <w:rPr>
          <w:rFonts w:cs="Arial"/>
          <w:color w:val="auto"/>
        </w:rPr>
      </w:pPr>
    </w:p>
    <w:p w:rsidR="00282724" w:rsidRDefault="007D6BEE" w:rsidP="00282724">
      <w:pPr>
        <w:pStyle w:val="ListParagraph"/>
        <w:rPr>
          <w:rFonts w:cs="Arial"/>
          <w:color w:val="auto"/>
        </w:rPr>
      </w:pPr>
      <w:r>
        <w:rPr>
          <w:rFonts w:cs="Arial"/>
          <w:color w:val="auto"/>
        </w:rPr>
        <w:t>The delivery programme</w:t>
      </w:r>
      <w:r w:rsidRPr="00A42023">
        <w:rPr>
          <w:rFonts w:cs="Arial"/>
          <w:color w:val="auto"/>
        </w:rPr>
        <w:t xml:space="preserve"> was originally profiled in 2016/17 for around 90 projects where delivery has either genuinely slipped into 2017/18 due to delays or final valuation payments and fees have been incurred into 201</w:t>
      </w:r>
      <w:r w:rsidRPr="00A42023">
        <w:rPr>
          <w:rFonts w:cs="Arial"/>
          <w:color w:val="auto"/>
        </w:rPr>
        <w:t>7/18 on projects in the very final stages of completion. Many of these variances are less than £0.100m and around 60% concern projects in the final stages.</w:t>
      </w:r>
    </w:p>
    <w:p w:rsidR="00282724" w:rsidRDefault="007D6BEE" w:rsidP="00282724">
      <w:pPr>
        <w:pStyle w:val="ListParagraph"/>
        <w:rPr>
          <w:rFonts w:cs="Arial"/>
          <w:color w:val="auto"/>
        </w:rPr>
      </w:pPr>
      <w:r w:rsidRPr="00A42023">
        <w:rPr>
          <w:rFonts w:cs="Arial"/>
          <w:color w:val="auto"/>
        </w:rPr>
        <w:t xml:space="preserve"> </w:t>
      </w:r>
    </w:p>
    <w:p w:rsidR="00282724" w:rsidRDefault="007D6BEE" w:rsidP="00282724">
      <w:pPr>
        <w:pStyle w:val="ListParagraph"/>
        <w:rPr>
          <w:rFonts w:cs="Arial"/>
          <w:color w:val="auto"/>
        </w:rPr>
      </w:pPr>
      <w:r w:rsidRPr="00A42023">
        <w:rPr>
          <w:rFonts w:cs="Arial"/>
          <w:color w:val="auto"/>
        </w:rPr>
        <w:t>Notable slippage variances are incurred</w:t>
      </w:r>
      <w:r>
        <w:rPr>
          <w:rFonts w:cs="Arial"/>
          <w:color w:val="auto"/>
        </w:rPr>
        <w:t xml:space="preserve"> on a small number of projects:</w:t>
      </w:r>
    </w:p>
    <w:p w:rsidR="003B32F5" w:rsidRDefault="007D6BEE" w:rsidP="00282724">
      <w:pPr>
        <w:pStyle w:val="ListParagraph"/>
        <w:rPr>
          <w:rFonts w:cs="Arial"/>
          <w:color w:val="auto"/>
        </w:rPr>
      </w:pPr>
    </w:p>
    <w:p w:rsidR="00282724" w:rsidRDefault="007D6BEE" w:rsidP="00282724">
      <w:pPr>
        <w:pStyle w:val="ListParagraph"/>
        <w:numPr>
          <w:ilvl w:val="0"/>
          <w:numId w:val="36"/>
        </w:numPr>
        <w:rPr>
          <w:rFonts w:cs="Arial"/>
          <w:color w:val="auto"/>
        </w:rPr>
      </w:pPr>
      <w:r w:rsidRPr="00A42023">
        <w:rPr>
          <w:rFonts w:cs="Arial"/>
          <w:color w:val="auto"/>
        </w:rPr>
        <w:t>West End School demolition</w:t>
      </w:r>
      <w:r w:rsidRPr="00A42023">
        <w:rPr>
          <w:rFonts w:cs="Arial"/>
          <w:color w:val="auto"/>
        </w:rPr>
        <w:t xml:space="preserve"> works which slipped by £0.292m in 2016/17 due to ecology and asbestos survey issue but</w:t>
      </w:r>
      <w:r>
        <w:rPr>
          <w:rFonts w:cs="Arial"/>
          <w:color w:val="auto"/>
        </w:rPr>
        <w:t xml:space="preserve"> the works are now going ahead of S</w:t>
      </w:r>
      <w:r>
        <w:rPr>
          <w:rFonts w:cs="Arial"/>
          <w:color w:val="auto"/>
        </w:rPr>
        <w:t>ummer 2017.</w:t>
      </w:r>
    </w:p>
    <w:p w:rsidR="00282724" w:rsidRDefault="007D6BEE" w:rsidP="00282724">
      <w:pPr>
        <w:pStyle w:val="ListParagraph"/>
        <w:numPr>
          <w:ilvl w:val="0"/>
          <w:numId w:val="36"/>
        </w:numPr>
        <w:rPr>
          <w:rFonts w:cs="Arial"/>
          <w:color w:val="auto"/>
        </w:rPr>
      </w:pPr>
      <w:r w:rsidRPr="00A42023">
        <w:rPr>
          <w:rFonts w:cs="Arial"/>
          <w:color w:val="auto"/>
        </w:rPr>
        <w:t>Morecambe Lancaster Road was officially handed over in September 2016 but has approximately £0.167m of final fees and rete</w:t>
      </w:r>
      <w:r w:rsidRPr="00A42023">
        <w:rPr>
          <w:rFonts w:cs="Arial"/>
          <w:color w:val="auto"/>
        </w:rPr>
        <w:t>ntion payments which wi</w:t>
      </w:r>
      <w:r>
        <w:rPr>
          <w:rFonts w:cs="Arial"/>
          <w:color w:val="auto"/>
        </w:rPr>
        <w:t xml:space="preserve">ll be incurred in 2017. </w:t>
      </w:r>
    </w:p>
    <w:p w:rsidR="00282724" w:rsidRDefault="007D6BEE" w:rsidP="00282724">
      <w:pPr>
        <w:pStyle w:val="ListParagraph"/>
        <w:numPr>
          <w:ilvl w:val="0"/>
          <w:numId w:val="36"/>
        </w:numPr>
        <w:rPr>
          <w:rFonts w:cs="Arial"/>
          <w:color w:val="auto"/>
        </w:rPr>
      </w:pPr>
      <w:r>
        <w:rPr>
          <w:rFonts w:cs="Arial"/>
          <w:color w:val="auto"/>
        </w:rPr>
        <w:t xml:space="preserve">Of the </w:t>
      </w:r>
      <w:r w:rsidRPr="00A42023">
        <w:rPr>
          <w:rFonts w:cs="Arial"/>
          <w:color w:val="auto"/>
        </w:rPr>
        <w:t>£0.500m emergency dry rot projects agree</w:t>
      </w:r>
      <w:r>
        <w:rPr>
          <w:rFonts w:cs="Arial"/>
          <w:color w:val="auto"/>
        </w:rPr>
        <w:t>d in 2016/17, £0.238m was spent</w:t>
      </w:r>
      <w:r w:rsidRPr="00A42023">
        <w:rPr>
          <w:rFonts w:cs="Arial"/>
          <w:color w:val="auto"/>
        </w:rPr>
        <w:t xml:space="preserve"> in year, with the remaining £0.262m to be incurred in 20</w:t>
      </w:r>
      <w:r>
        <w:rPr>
          <w:rFonts w:cs="Arial"/>
          <w:color w:val="auto"/>
        </w:rPr>
        <w:t xml:space="preserve">17/18 </w:t>
      </w:r>
      <w:r w:rsidRPr="00282724">
        <w:rPr>
          <w:rFonts w:cs="Arial"/>
          <w:color w:val="auto"/>
        </w:rPr>
        <w:t>together with the fu</w:t>
      </w:r>
      <w:r>
        <w:rPr>
          <w:rFonts w:cs="Arial"/>
          <w:color w:val="auto"/>
        </w:rPr>
        <w:t xml:space="preserve">rther funding recently approved. </w:t>
      </w:r>
    </w:p>
    <w:p w:rsidR="00853732" w:rsidRPr="00282724" w:rsidRDefault="007D6BEE" w:rsidP="00282724">
      <w:pPr>
        <w:pStyle w:val="ListParagraph"/>
        <w:numPr>
          <w:ilvl w:val="0"/>
          <w:numId w:val="36"/>
        </w:numPr>
        <w:rPr>
          <w:rFonts w:cs="Arial"/>
          <w:color w:val="auto"/>
        </w:rPr>
      </w:pPr>
      <w:r>
        <w:rPr>
          <w:rFonts w:cs="Arial"/>
          <w:color w:val="auto"/>
        </w:rPr>
        <w:t>T</w:t>
      </w:r>
      <w:r w:rsidRPr="00282724">
        <w:rPr>
          <w:rFonts w:cs="Arial"/>
          <w:color w:val="auto"/>
        </w:rPr>
        <w:t>he Preston L</w:t>
      </w:r>
      <w:r w:rsidRPr="00282724">
        <w:rPr>
          <w:rFonts w:cs="Arial"/>
          <w:color w:val="auto"/>
        </w:rPr>
        <w:t>arches project delivery incurred £0.177m of slippage against the 2016/17 budget due to delays in agreeing a deliverable project within budget and also issues affecting delivery on site.</w:t>
      </w:r>
    </w:p>
    <w:p w:rsidR="00853732" w:rsidRPr="00A42023" w:rsidRDefault="007D6BEE" w:rsidP="00853732">
      <w:pPr>
        <w:pStyle w:val="ListParagraph"/>
        <w:rPr>
          <w:rFonts w:cs="Arial"/>
          <w:color w:val="auto"/>
        </w:rPr>
      </w:pPr>
    </w:p>
    <w:p w:rsidR="00853732" w:rsidRPr="00416C1D" w:rsidRDefault="007D6BEE" w:rsidP="00416C1D">
      <w:pPr>
        <w:pStyle w:val="ListParagraph"/>
        <w:numPr>
          <w:ilvl w:val="0"/>
          <w:numId w:val="30"/>
        </w:numPr>
        <w:spacing w:after="0"/>
        <w:rPr>
          <w:rFonts w:cs="Arial"/>
          <w:color w:val="auto"/>
        </w:rPr>
      </w:pPr>
      <w:r w:rsidRPr="0046521C">
        <w:rPr>
          <w:rFonts w:cs="Arial"/>
        </w:rPr>
        <w:lastRenderedPageBreak/>
        <w:t>£0.926m of un</w:t>
      </w:r>
      <w:r>
        <w:rPr>
          <w:rFonts w:cs="Arial"/>
        </w:rPr>
        <w:t>-</w:t>
      </w:r>
      <w:r w:rsidRPr="0046521C">
        <w:rPr>
          <w:rFonts w:cs="Arial"/>
        </w:rPr>
        <w:t>programmed budget profiled to be spent in 2017-18 is un</w:t>
      </w:r>
      <w:r w:rsidRPr="0046521C">
        <w:rPr>
          <w:rFonts w:cs="Arial"/>
        </w:rPr>
        <w:t>committed at this time and therefore re</w:t>
      </w:r>
      <w:r>
        <w:rPr>
          <w:rFonts w:cs="Arial"/>
        </w:rPr>
        <w:t xml:space="preserve">ported as not being spent in year at </w:t>
      </w:r>
      <w:r>
        <w:rPr>
          <w:rFonts w:cs="Arial"/>
        </w:rPr>
        <w:t xml:space="preserve">Quarter 1. </w:t>
      </w:r>
      <w:r w:rsidRPr="0046521C">
        <w:rPr>
          <w:rFonts w:cs="Arial"/>
        </w:rPr>
        <w:t>This refers to risk/contingency monies budgeted as part of the £15.9m 2017/18</w:t>
      </w:r>
      <w:r>
        <w:rPr>
          <w:rFonts w:cs="Arial"/>
        </w:rPr>
        <w:t xml:space="preserve"> c</w:t>
      </w:r>
      <w:r w:rsidRPr="0046521C">
        <w:rPr>
          <w:rFonts w:cs="Arial"/>
        </w:rPr>
        <w:t>ond</w:t>
      </w:r>
      <w:r>
        <w:rPr>
          <w:rFonts w:cs="Arial"/>
        </w:rPr>
        <w:t>ition starts programme per</w:t>
      </w:r>
      <w:r>
        <w:rPr>
          <w:rFonts w:cs="Arial"/>
        </w:rPr>
        <w:t xml:space="preserve"> a report to Cabinet on 5</w:t>
      </w:r>
      <w:r w:rsidRPr="00485E3D">
        <w:rPr>
          <w:rFonts w:cs="Arial"/>
          <w:vertAlign w:val="superscript"/>
        </w:rPr>
        <w:t>th</w:t>
      </w:r>
      <w:r>
        <w:rPr>
          <w:rFonts w:cs="Arial"/>
        </w:rPr>
        <w:t xml:space="preserve"> April 2017. </w:t>
      </w:r>
      <w:r w:rsidRPr="0046521C">
        <w:rPr>
          <w:rFonts w:cs="Arial"/>
        </w:rPr>
        <w:t>As these projects are</w:t>
      </w:r>
      <w:r w:rsidRPr="0046521C">
        <w:rPr>
          <w:rFonts w:cs="Arial"/>
        </w:rPr>
        <w:t xml:space="preserve"> not yet on site, it is </w:t>
      </w:r>
      <w:r>
        <w:rPr>
          <w:rFonts w:cs="Arial"/>
        </w:rPr>
        <w:t xml:space="preserve">considered </w:t>
      </w:r>
      <w:r w:rsidRPr="0046521C">
        <w:rPr>
          <w:rFonts w:cs="Arial"/>
        </w:rPr>
        <w:t>unlikely that any contingency spend will be incurred in year.</w:t>
      </w:r>
    </w:p>
    <w:p w:rsidR="00416C1D" w:rsidRPr="0046521C" w:rsidRDefault="007D6BEE" w:rsidP="00416C1D">
      <w:pPr>
        <w:pStyle w:val="ListParagraph"/>
        <w:spacing w:after="0"/>
        <w:rPr>
          <w:rFonts w:cs="Arial"/>
          <w:color w:val="auto"/>
        </w:rPr>
      </w:pPr>
    </w:p>
    <w:p w:rsidR="00853732" w:rsidRDefault="007D6BEE" w:rsidP="00416C1D">
      <w:pPr>
        <w:spacing w:after="0"/>
        <w:rPr>
          <w:rFonts w:cs="Arial"/>
          <w:i/>
        </w:rPr>
      </w:pPr>
      <w:r w:rsidRPr="00892025">
        <w:rPr>
          <w:rFonts w:cs="Arial"/>
          <w:i/>
        </w:rPr>
        <w:t>Other notes/comments</w:t>
      </w:r>
      <w:r>
        <w:rPr>
          <w:rFonts w:cs="Arial"/>
          <w:i/>
        </w:rPr>
        <w:t xml:space="preserve"> </w:t>
      </w:r>
      <w:r w:rsidRPr="00892025">
        <w:rPr>
          <w:rFonts w:cs="Arial"/>
          <w:i/>
        </w:rPr>
        <w:t>-</w:t>
      </w:r>
      <w:r>
        <w:rPr>
          <w:rFonts w:cs="Arial"/>
          <w:i/>
        </w:rPr>
        <w:t>.</w:t>
      </w:r>
    </w:p>
    <w:p w:rsidR="00416C1D" w:rsidRPr="00892025" w:rsidRDefault="007D6BEE" w:rsidP="00416C1D">
      <w:pPr>
        <w:spacing w:after="0"/>
        <w:rPr>
          <w:rFonts w:cs="Arial"/>
          <w:i/>
        </w:rPr>
      </w:pPr>
    </w:p>
    <w:p w:rsidR="00853732" w:rsidRDefault="007D6BEE" w:rsidP="00416C1D">
      <w:pPr>
        <w:pStyle w:val="ListParagraph"/>
        <w:numPr>
          <w:ilvl w:val="0"/>
          <w:numId w:val="31"/>
        </w:numPr>
        <w:spacing w:after="0"/>
        <w:rPr>
          <w:rFonts w:cs="Arial"/>
        </w:rPr>
      </w:pPr>
      <w:r w:rsidRPr="00965C4F">
        <w:rPr>
          <w:rFonts w:cs="Arial"/>
        </w:rPr>
        <w:t xml:space="preserve">£19m of new Basic Need and Schools Condition projects (105 projects) to start in 2017 were approved in late 2016/17 and added to the </w:t>
      </w:r>
      <w:r w:rsidRPr="00965C4F">
        <w:rPr>
          <w:rFonts w:cs="Arial"/>
        </w:rPr>
        <w:t>2017/18 budget. These projects account for 51% of the 2017/18 budget. There is little spend against these schemes to date while design work progresses and tenders are agreed. These projects will be delivered into 2018/19. The current budget requires re</w:t>
      </w:r>
      <w:r>
        <w:rPr>
          <w:rFonts w:cs="Arial"/>
        </w:rPr>
        <w:t>-</w:t>
      </w:r>
      <w:r w:rsidRPr="00965C4F">
        <w:rPr>
          <w:rFonts w:cs="Arial"/>
        </w:rPr>
        <w:t>pro</w:t>
      </w:r>
      <w:r w:rsidRPr="00965C4F">
        <w:rPr>
          <w:rFonts w:cs="Arial"/>
        </w:rPr>
        <w:t>filing in accordance with projected delivery time frames once tenders have been agreed.  As such, no forecast variance from the profiled budget has been included until a delivery timeframe to monitor against is agreed and approved as appropriate. These pro</w:t>
      </w:r>
      <w:r w:rsidRPr="00965C4F">
        <w:rPr>
          <w:rFonts w:cs="Arial"/>
        </w:rPr>
        <w:t>jects are forecast as fully spent but flagged as a significant slippage risk until they are re</w:t>
      </w:r>
      <w:r>
        <w:rPr>
          <w:rFonts w:cs="Arial"/>
        </w:rPr>
        <w:t>-profiled, th</w:t>
      </w:r>
      <w:r>
        <w:rPr>
          <w:rFonts w:cs="Arial"/>
        </w:rPr>
        <w:t>is position will be updated in Q</w:t>
      </w:r>
      <w:r>
        <w:rPr>
          <w:rFonts w:cs="Arial"/>
        </w:rPr>
        <w:t>uarter 2 monitoring.</w:t>
      </w:r>
    </w:p>
    <w:p w:rsidR="00853732" w:rsidRPr="00965C4F" w:rsidRDefault="007D6BEE" w:rsidP="00853732">
      <w:pPr>
        <w:pStyle w:val="ListParagraph"/>
        <w:rPr>
          <w:rFonts w:cs="Arial"/>
        </w:rPr>
      </w:pPr>
    </w:p>
    <w:p w:rsidR="00CD16CA" w:rsidRDefault="007D6BEE" w:rsidP="00CD16CA">
      <w:pPr>
        <w:pStyle w:val="ListParagraph"/>
        <w:numPr>
          <w:ilvl w:val="0"/>
          <w:numId w:val="31"/>
        </w:numPr>
        <w:spacing w:after="0"/>
        <w:rPr>
          <w:rFonts w:cs="Arial"/>
        </w:rPr>
      </w:pPr>
      <w:r w:rsidRPr="00965C4F">
        <w:rPr>
          <w:rFonts w:cs="Arial"/>
        </w:rPr>
        <w:t>The largest project under the school capital programme is the Euxton Balshaw Lane Basic Need pr</w:t>
      </w:r>
      <w:r w:rsidRPr="00965C4F">
        <w:rPr>
          <w:rFonts w:cs="Arial"/>
        </w:rPr>
        <w:t>oject, which has a total budget of £3.900m, of which £3.500m is profiled to be spent in 2017/18. Of this, £0.130m was delivered ahead of this profiling during 2016/17. The project is anticipated to be completed within time and budget.</w:t>
      </w:r>
    </w:p>
    <w:p w:rsidR="00CD16CA" w:rsidRPr="00CD16CA" w:rsidRDefault="007D6BEE" w:rsidP="00CD16CA">
      <w:pPr>
        <w:spacing w:after="0"/>
        <w:rPr>
          <w:rFonts w:cs="Arial"/>
        </w:rPr>
      </w:pPr>
    </w:p>
    <w:p w:rsidR="00853732" w:rsidRDefault="007D6BEE" w:rsidP="00CD16CA">
      <w:pPr>
        <w:pStyle w:val="ListParagraph"/>
        <w:numPr>
          <w:ilvl w:val="0"/>
          <w:numId w:val="31"/>
        </w:numPr>
        <w:spacing w:after="0"/>
        <w:rPr>
          <w:rFonts w:cs="Arial"/>
        </w:rPr>
      </w:pPr>
      <w:r w:rsidRPr="00965C4F">
        <w:rPr>
          <w:rFonts w:cs="Arial"/>
        </w:rPr>
        <w:t>A remaining amount o</w:t>
      </w:r>
      <w:r w:rsidRPr="00965C4F">
        <w:rPr>
          <w:rFonts w:cs="Arial"/>
        </w:rPr>
        <w:t>f £0.685m of contingency budget</w:t>
      </w:r>
      <w:r>
        <w:rPr>
          <w:rFonts w:cs="Arial"/>
        </w:rPr>
        <w:t xml:space="preserve"> relating to the 2015/16 start c</w:t>
      </w:r>
      <w:r w:rsidRPr="00965C4F">
        <w:rPr>
          <w:rFonts w:cs="Arial"/>
        </w:rPr>
        <w:t>ondition programme is profiled in 2017/18. It has not been allocated to projects at this time but forecast as fully committed until the programme is completed.</w:t>
      </w:r>
    </w:p>
    <w:p w:rsidR="00416C1D" w:rsidRDefault="007D6BEE" w:rsidP="00F03AE5">
      <w:pPr>
        <w:spacing w:after="0"/>
        <w:rPr>
          <w:rFonts w:cs="Arial"/>
        </w:rPr>
      </w:pPr>
    </w:p>
    <w:p w:rsidR="00F03AE5" w:rsidRPr="00F03AE5" w:rsidRDefault="007D6BEE" w:rsidP="00F03AE5">
      <w:pPr>
        <w:spacing w:after="0"/>
        <w:rPr>
          <w:rFonts w:cs="Arial"/>
        </w:rPr>
      </w:pPr>
      <w:r>
        <w:rPr>
          <w:rFonts w:cs="Arial"/>
        </w:rPr>
        <w:t>Although only 9% of the programm</w:t>
      </w:r>
      <w:r>
        <w:rPr>
          <w:rFonts w:cs="Arial"/>
        </w:rPr>
        <w:t>e has currently been spent</w:t>
      </w:r>
      <w:r>
        <w:rPr>
          <w:rFonts w:cs="Arial"/>
        </w:rPr>
        <w:t>,</w:t>
      </w:r>
      <w:r>
        <w:rPr>
          <w:rFonts w:cs="Arial"/>
        </w:rPr>
        <w:t xml:space="preserve"> the above forecast is considered robust as the majority of the expenditure takes place during school summer holidays.</w:t>
      </w:r>
    </w:p>
    <w:p w:rsidR="00CD16CA" w:rsidRPr="00CD16CA" w:rsidRDefault="007D6BEE" w:rsidP="00CD16CA">
      <w:pPr>
        <w:spacing w:after="0"/>
        <w:rPr>
          <w:rFonts w:cs="Arial"/>
        </w:rPr>
      </w:pPr>
    </w:p>
    <w:p w:rsidR="00853732" w:rsidRDefault="007D6BEE" w:rsidP="00CD16CA">
      <w:pPr>
        <w:spacing w:after="0"/>
        <w:rPr>
          <w:rFonts w:cs="Arial"/>
          <w:b/>
        </w:rPr>
      </w:pPr>
      <w:r>
        <w:rPr>
          <w:rFonts w:cs="Arial"/>
          <w:b/>
        </w:rPr>
        <w:t>3.2 Children and Young People</w:t>
      </w:r>
    </w:p>
    <w:p w:rsidR="00853732" w:rsidRPr="00892025" w:rsidRDefault="007D6BEE" w:rsidP="00CD16CA">
      <w:pPr>
        <w:spacing w:after="0"/>
        <w:rPr>
          <w:rFonts w:cs="Arial"/>
          <w:b/>
        </w:rPr>
      </w:pPr>
    </w:p>
    <w:p w:rsidR="00853732" w:rsidRDefault="007D6BEE" w:rsidP="00CD16CA">
      <w:pPr>
        <w:spacing w:after="0"/>
        <w:rPr>
          <w:rFonts w:cs="Arial"/>
          <w:b/>
        </w:rPr>
      </w:pPr>
      <w:r w:rsidRPr="00892025">
        <w:rPr>
          <w:rFonts w:cs="Arial"/>
          <w:b/>
        </w:rPr>
        <w:t xml:space="preserve">A </w:t>
      </w:r>
      <w:r>
        <w:rPr>
          <w:rFonts w:cs="Arial"/>
          <w:b/>
        </w:rPr>
        <w:t>forecast spend greater than budget</w:t>
      </w:r>
      <w:r w:rsidRPr="00892025">
        <w:rPr>
          <w:rFonts w:cs="Arial"/>
          <w:b/>
        </w:rPr>
        <w:t xml:space="preserve"> of £2.933m is forecast on the current 2017/18</w:t>
      </w:r>
      <w:r>
        <w:rPr>
          <w:rFonts w:cs="Arial"/>
          <w:b/>
        </w:rPr>
        <w:t xml:space="preserve"> profiled delivery programme</w:t>
      </w:r>
      <w:r w:rsidRPr="00892025">
        <w:rPr>
          <w:rFonts w:cs="Arial"/>
          <w:b/>
        </w:rPr>
        <w:t>. This is explained as follows:</w:t>
      </w:r>
    </w:p>
    <w:p w:rsidR="00CD16CA" w:rsidRPr="00892025" w:rsidRDefault="007D6BEE" w:rsidP="00CD16CA">
      <w:pPr>
        <w:spacing w:after="0"/>
        <w:rPr>
          <w:rFonts w:cs="Arial"/>
          <w:b/>
        </w:rPr>
      </w:pPr>
    </w:p>
    <w:p w:rsidR="00853732" w:rsidRDefault="007D6BEE" w:rsidP="00CD16CA">
      <w:pPr>
        <w:pStyle w:val="ListParagraph"/>
        <w:numPr>
          <w:ilvl w:val="0"/>
          <w:numId w:val="32"/>
        </w:numPr>
        <w:spacing w:after="0"/>
        <w:rPr>
          <w:rFonts w:cs="Arial"/>
        </w:rPr>
      </w:pPr>
      <w:r w:rsidRPr="00965C4F">
        <w:rPr>
          <w:rFonts w:cs="Arial"/>
        </w:rPr>
        <w:t xml:space="preserve">£4.250m forecast expenditure ahead of </w:t>
      </w:r>
      <w:r>
        <w:rPr>
          <w:rFonts w:cs="Arial"/>
        </w:rPr>
        <w:t>the 2017/18 profile relating to</w:t>
      </w:r>
      <w:r>
        <w:rPr>
          <w:rFonts w:cs="Arial"/>
        </w:rPr>
        <w:t xml:space="preserve"> the c</w:t>
      </w:r>
      <w:r w:rsidRPr="00965C4F">
        <w:rPr>
          <w:rFonts w:cs="Arial"/>
        </w:rPr>
        <w:t>ontribution to City Deal budget re Preston Youth</w:t>
      </w:r>
      <w:r>
        <w:rPr>
          <w:rFonts w:cs="Arial"/>
        </w:rPr>
        <w:t xml:space="preserve"> Zone. This profile will r</w:t>
      </w:r>
      <w:r>
        <w:rPr>
          <w:rFonts w:cs="Arial"/>
        </w:rPr>
        <w:t>esult in a lower spend in later years.</w:t>
      </w:r>
      <w:r w:rsidRPr="00965C4F">
        <w:rPr>
          <w:rFonts w:cs="Arial"/>
        </w:rPr>
        <w:t xml:space="preserve"> </w:t>
      </w:r>
    </w:p>
    <w:p w:rsidR="00853732" w:rsidRPr="00965C4F" w:rsidRDefault="007D6BEE" w:rsidP="00853732">
      <w:pPr>
        <w:pStyle w:val="ListParagraph"/>
        <w:rPr>
          <w:rFonts w:cs="Arial"/>
        </w:rPr>
      </w:pPr>
    </w:p>
    <w:p w:rsidR="00853732" w:rsidRDefault="007D6BEE" w:rsidP="00CD16CA">
      <w:pPr>
        <w:pStyle w:val="ListParagraph"/>
        <w:numPr>
          <w:ilvl w:val="0"/>
          <w:numId w:val="32"/>
        </w:numPr>
        <w:spacing w:after="0"/>
        <w:rPr>
          <w:rFonts w:cs="Arial"/>
          <w:color w:val="auto"/>
        </w:rPr>
      </w:pPr>
      <w:r w:rsidRPr="00965C4F">
        <w:rPr>
          <w:rFonts w:cs="Arial"/>
          <w:color w:val="auto"/>
        </w:rPr>
        <w:t>£1.181m of expenditure slipped from 2016/17 into 2017/18. £1.100m of this is expenditure relating to the contributi</w:t>
      </w:r>
      <w:r>
        <w:rPr>
          <w:rFonts w:cs="Arial"/>
          <w:color w:val="auto"/>
        </w:rPr>
        <w:t>on to Chorley Borough Council for the</w:t>
      </w:r>
      <w:r w:rsidRPr="00965C4F">
        <w:rPr>
          <w:rFonts w:cs="Arial"/>
          <w:color w:val="auto"/>
        </w:rPr>
        <w:t xml:space="preserve"> Chorley Youth Zone. This was originally profiled to be passported in 2016/17 but has slipped into </w:t>
      </w:r>
      <w:r>
        <w:rPr>
          <w:rFonts w:cs="Arial"/>
          <w:color w:val="auto"/>
        </w:rPr>
        <w:t>2017/</w:t>
      </w:r>
      <w:r w:rsidRPr="00965C4F">
        <w:rPr>
          <w:rFonts w:cs="Arial"/>
          <w:color w:val="auto"/>
        </w:rPr>
        <w:t xml:space="preserve">18 due to delays in agreeing the legal contracts. </w:t>
      </w:r>
      <w:r w:rsidRPr="00965C4F">
        <w:rPr>
          <w:rFonts w:cs="Arial"/>
          <w:color w:val="auto"/>
        </w:rPr>
        <w:lastRenderedPageBreak/>
        <w:t xml:space="preserve">£0.080m relates to final payments on smaller projects that will be expended in 2017/18. </w:t>
      </w:r>
    </w:p>
    <w:p w:rsidR="00853732" w:rsidRPr="00965C4F" w:rsidRDefault="007D6BEE" w:rsidP="00CD16CA">
      <w:pPr>
        <w:spacing w:after="0"/>
        <w:rPr>
          <w:rFonts w:cs="Arial"/>
          <w:color w:val="auto"/>
        </w:rPr>
      </w:pPr>
    </w:p>
    <w:p w:rsidR="00853732" w:rsidRPr="00965C4F" w:rsidRDefault="007D6BEE" w:rsidP="00CD16CA">
      <w:pPr>
        <w:pStyle w:val="ListParagraph"/>
        <w:numPr>
          <w:ilvl w:val="0"/>
          <w:numId w:val="32"/>
        </w:numPr>
        <w:spacing w:after="0"/>
        <w:rPr>
          <w:rFonts w:cs="Arial"/>
          <w:b/>
          <w:color w:val="auto"/>
        </w:rPr>
      </w:pPr>
      <w:r>
        <w:rPr>
          <w:rFonts w:cs="Arial"/>
          <w:color w:val="auto"/>
        </w:rPr>
        <w:t>£2.499m slip</w:t>
      </w:r>
      <w:r>
        <w:rPr>
          <w:rFonts w:cs="Arial"/>
          <w:color w:val="auto"/>
        </w:rPr>
        <w:t xml:space="preserve">page from </w:t>
      </w:r>
      <w:r w:rsidRPr="00965C4F">
        <w:rPr>
          <w:rFonts w:cs="Arial"/>
          <w:color w:val="auto"/>
        </w:rPr>
        <w:t xml:space="preserve">2017/18 budget </w:t>
      </w:r>
      <w:r>
        <w:rPr>
          <w:rFonts w:cs="Arial"/>
          <w:color w:val="auto"/>
        </w:rPr>
        <w:t>in</w:t>
      </w:r>
      <w:r w:rsidRPr="00965C4F">
        <w:rPr>
          <w:rFonts w:cs="Arial"/>
          <w:color w:val="auto"/>
        </w:rPr>
        <w:t xml:space="preserve">to future years. </w:t>
      </w:r>
      <w:r>
        <w:rPr>
          <w:rFonts w:cs="Arial"/>
          <w:color w:val="auto"/>
        </w:rPr>
        <w:t xml:space="preserve">Part of this relates to </w:t>
      </w:r>
      <w:r w:rsidRPr="00965C4F">
        <w:rPr>
          <w:rFonts w:cs="Arial"/>
          <w:color w:val="auto"/>
        </w:rPr>
        <w:t>an unallocated budget in the Residential Redesign programme, some of which was profiled to be spent in 2017/18 on two proposed disabilities overnight short breaks units. £2.200m of this un</w:t>
      </w:r>
      <w:r w:rsidRPr="00965C4F">
        <w:rPr>
          <w:rFonts w:cs="Arial"/>
          <w:color w:val="auto"/>
        </w:rPr>
        <w:t>allocated budget now remains after a change was made in 2014/15 to re-allocate £2.100m to the Preston Bus Station budget. It has not yet been agreed which of the proposed overnight short break units will go ahead as construction of both is not viable withi</w:t>
      </w:r>
      <w:r w:rsidRPr="00965C4F">
        <w:rPr>
          <w:rFonts w:cs="Arial"/>
          <w:color w:val="auto"/>
        </w:rPr>
        <w:t xml:space="preserve">n the remaining budget. As such, no expenditure is forecast until </w:t>
      </w:r>
      <w:r>
        <w:rPr>
          <w:rFonts w:cs="Arial"/>
          <w:color w:val="auto"/>
        </w:rPr>
        <w:t xml:space="preserve">revised </w:t>
      </w:r>
      <w:r w:rsidRPr="00965C4F">
        <w:rPr>
          <w:rFonts w:cs="Arial"/>
          <w:color w:val="auto"/>
        </w:rPr>
        <w:t xml:space="preserve">plans are </w:t>
      </w:r>
      <w:r>
        <w:rPr>
          <w:rFonts w:cs="Arial"/>
          <w:color w:val="auto"/>
        </w:rPr>
        <w:t>presented to</w:t>
      </w:r>
      <w:r w:rsidRPr="00965C4F">
        <w:rPr>
          <w:rFonts w:cs="Arial"/>
          <w:color w:val="auto"/>
        </w:rPr>
        <w:t xml:space="preserve"> </w:t>
      </w:r>
      <w:r>
        <w:rPr>
          <w:rFonts w:cs="Arial"/>
          <w:color w:val="auto"/>
        </w:rPr>
        <w:t xml:space="preserve">a future </w:t>
      </w:r>
      <w:r w:rsidRPr="00965C4F">
        <w:rPr>
          <w:rFonts w:cs="Arial"/>
          <w:color w:val="auto"/>
        </w:rPr>
        <w:t xml:space="preserve">Cabinet.  </w:t>
      </w:r>
      <w:r>
        <w:rPr>
          <w:rFonts w:cs="Arial"/>
          <w:color w:val="auto"/>
        </w:rPr>
        <w:t>In addition, t</w:t>
      </w:r>
      <w:r w:rsidRPr="00965C4F">
        <w:rPr>
          <w:rFonts w:cs="Arial"/>
          <w:color w:val="auto"/>
        </w:rPr>
        <w:t>he Tower</w:t>
      </w:r>
      <w:r>
        <w:rPr>
          <w:rFonts w:cs="Arial"/>
          <w:color w:val="auto"/>
        </w:rPr>
        <w:t xml:space="preserve"> W</w:t>
      </w:r>
      <w:r w:rsidRPr="00965C4F">
        <w:rPr>
          <w:rFonts w:cs="Arial"/>
          <w:color w:val="auto"/>
        </w:rPr>
        <w:t xml:space="preserve">ood replacement jetties project is forecast </w:t>
      </w:r>
      <w:r>
        <w:rPr>
          <w:rFonts w:cs="Arial"/>
          <w:color w:val="auto"/>
        </w:rPr>
        <w:t xml:space="preserve">at slipping by £0.222m as the identified contractor no longer wishes to </w:t>
      </w:r>
      <w:r>
        <w:rPr>
          <w:rFonts w:cs="Arial"/>
          <w:color w:val="auto"/>
        </w:rPr>
        <w:t>undertake the work and the planning permission has expired, a replacement contractor and renewal of the planning permission is being sought.</w:t>
      </w:r>
      <w:r w:rsidRPr="00965C4F">
        <w:rPr>
          <w:rFonts w:cs="Arial"/>
          <w:color w:val="auto"/>
        </w:rPr>
        <w:t xml:space="preserve"> There is a further £0.035m of slippage forecast on a small number of other projects.</w:t>
      </w:r>
      <w:r w:rsidRPr="00965C4F">
        <w:rPr>
          <w:rFonts w:cs="Arial"/>
          <w:b/>
          <w:color w:val="auto"/>
        </w:rPr>
        <w:t xml:space="preserve"> </w:t>
      </w:r>
    </w:p>
    <w:p w:rsidR="00853732" w:rsidRPr="00892025" w:rsidRDefault="007D6BEE" w:rsidP="00CD16CA">
      <w:pPr>
        <w:spacing w:after="0"/>
        <w:rPr>
          <w:rFonts w:cs="Arial"/>
          <w:b/>
        </w:rPr>
      </w:pPr>
    </w:p>
    <w:p w:rsidR="00853732" w:rsidRDefault="007D6BEE" w:rsidP="00CD16CA">
      <w:pPr>
        <w:spacing w:after="0"/>
        <w:rPr>
          <w:rFonts w:cs="Arial"/>
          <w:b/>
        </w:rPr>
      </w:pPr>
      <w:r>
        <w:rPr>
          <w:rFonts w:cs="Arial"/>
          <w:b/>
        </w:rPr>
        <w:t>3.3 Vehicles</w:t>
      </w:r>
    </w:p>
    <w:p w:rsidR="00CD16CA" w:rsidRPr="00892025" w:rsidRDefault="007D6BEE" w:rsidP="00CD16CA">
      <w:pPr>
        <w:spacing w:after="0"/>
        <w:rPr>
          <w:rFonts w:cs="Arial"/>
          <w:b/>
        </w:rPr>
      </w:pPr>
    </w:p>
    <w:p w:rsidR="00853732" w:rsidRDefault="007D6BEE" w:rsidP="00CD16CA">
      <w:pPr>
        <w:spacing w:after="0"/>
        <w:rPr>
          <w:rFonts w:cs="Arial"/>
          <w:b/>
        </w:rPr>
      </w:pPr>
      <w:r>
        <w:rPr>
          <w:rFonts w:cs="Arial"/>
          <w:b/>
        </w:rPr>
        <w:t xml:space="preserve">Spend greater </w:t>
      </w:r>
      <w:r>
        <w:rPr>
          <w:rFonts w:cs="Arial"/>
          <w:b/>
        </w:rPr>
        <w:t>than budget</w:t>
      </w:r>
      <w:r w:rsidRPr="00892025">
        <w:rPr>
          <w:rFonts w:cs="Arial"/>
          <w:b/>
        </w:rPr>
        <w:t xml:space="preserve"> of £0.</w:t>
      </w:r>
      <w:r>
        <w:rPr>
          <w:rFonts w:cs="Arial"/>
          <w:b/>
        </w:rPr>
        <w:t>270</w:t>
      </w:r>
      <w:r w:rsidRPr="00892025">
        <w:rPr>
          <w:rFonts w:cs="Arial"/>
          <w:b/>
        </w:rPr>
        <w:t xml:space="preserve">m is forecast on the current </w:t>
      </w:r>
      <w:r>
        <w:rPr>
          <w:rFonts w:cs="Arial"/>
          <w:b/>
        </w:rPr>
        <w:t>20</w:t>
      </w:r>
      <w:r w:rsidRPr="00892025">
        <w:rPr>
          <w:rFonts w:cs="Arial"/>
          <w:b/>
        </w:rPr>
        <w:t>17/18 profiled budget. This is explained as follows:</w:t>
      </w:r>
    </w:p>
    <w:p w:rsidR="003B32F5" w:rsidRPr="00892025" w:rsidRDefault="007D6BEE" w:rsidP="00CD16CA">
      <w:pPr>
        <w:spacing w:after="0"/>
        <w:rPr>
          <w:rFonts w:cs="Arial"/>
          <w:b/>
        </w:rPr>
      </w:pPr>
    </w:p>
    <w:p w:rsidR="00853732" w:rsidRPr="0059538C" w:rsidRDefault="007D6BEE" w:rsidP="00CD16CA">
      <w:pPr>
        <w:spacing w:after="0"/>
        <w:rPr>
          <w:rFonts w:eastAsia="Times New Roman" w:cs="Arial"/>
          <w:color w:val="auto"/>
          <w:lang w:eastAsia="en-GB"/>
        </w:rPr>
      </w:pPr>
      <w:r>
        <w:rPr>
          <w:rFonts w:eastAsia="Times New Roman" w:cs="Arial"/>
          <w:color w:val="auto"/>
          <w:lang w:eastAsia="en-GB"/>
        </w:rPr>
        <w:t>This variance relates to forecast expenditure of £2.870m on vehicle replacement against a budget of £2.300m.  In addition, £0.180m is forecast to be s</w:t>
      </w:r>
      <w:r>
        <w:rPr>
          <w:rFonts w:eastAsia="Times New Roman" w:cs="Arial"/>
          <w:color w:val="auto"/>
          <w:lang w:eastAsia="en-GB"/>
        </w:rPr>
        <w:t>pent in 2017/18 on Mobile Libraries with the remainder in 2018/19</w:t>
      </w:r>
      <w:r>
        <w:rPr>
          <w:rFonts w:eastAsia="Times New Roman" w:cs="Arial"/>
          <w:color w:val="auto"/>
          <w:lang w:eastAsia="en-GB"/>
        </w:rPr>
        <w:t xml:space="preserve"> (total £0.480m)</w:t>
      </w:r>
      <w:r>
        <w:rPr>
          <w:rFonts w:eastAsia="Times New Roman" w:cs="Arial"/>
          <w:color w:val="auto"/>
          <w:lang w:eastAsia="en-GB"/>
        </w:rPr>
        <w:t>.  Expenditure is fully committed in this area.</w:t>
      </w:r>
      <w:r w:rsidRPr="00892025">
        <w:rPr>
          <w:rFonts w:eastAsia="Times New Roman" w:cs="Arial"/>
          <w:lang w:eastAsia="en-GB"/>
        </w:rPr>
        <w:t xml:space="preserve">  </w:t>
      </w:r>
    </w:p>
    <w:p w:rsidR="00853732" w:rsidRPr="00892025" w:rsidRDefault="007D6BEE" w:rsidP="00853732">
      <w:pPr>
        <w:rPr>
          <w:rFonts w:cs="Arial"/>
          <w:b/>
        </w:rPr>
      </w:pPr>
    </w:p>
    <w:p w:rsidR="00853732" w:rsidRDefault="007D6BEE" w:rsidP="00CD16CA">
      <w:pPr>
        <w:spacing w:after="0"/>
        <w:rPr>
          <w:rFonts w:cs="Arial"/>
          <w:b/>
        </w:rPr>
      </w:pPr>
      <w:r>
        <w:rPr>
          <w:rFonts w:cs="Arial"/>
          <w:b/>
        </w:rPr>
        <w:t>3.4 Highways</w:t>
      </w:r>
    </w:p>
    <w:p w:rsidR="00CD16CA" w:rsidRDefault="007D6BEE" w:rsidP="00CD16CA">
      <w:pPr>
        <w:spacing w:after="0"/>
        <w:rPr>
          <w:rFonts w:cs="Arial"/>
          <w:b/>
        </w:rPr>
      </w:pPr>
    </w:p>
    <w:p w:rsidR="00853732" w:rsidRDefault="007D6BEE" w:rsidP="00CD16CA">
      <w:pPr>
        <w:spacing w:after="0"/>
        <w:rPr>
          <w:rFonts w:cs="Arial"/>
          <w:b/>
        </w:rPr>
      </w:pPr>
      <w:r w:rsidRPr="00892025">
        <w:rPr>
          <w:rFonts w:cs="Arial"/>
          <w:b/>
        </w:rPr>
        <w:t xml:space="preserve">A net nil position is forecast on the current </w:t>
      </w:r>
      <w:r>
        <w:rPr>
          <w:rFonts w:cs="Arial"/>
          <w:b/>
        </w:rPr>
        <w:t>2017/</w:t>
      </w:r>
      <w:r w:rsidRPr="00892025">
        <w:rPr>
          <w:rFonts w:cs="Arial"/>
          <w:b/>
        </w:rPr>
        <w:t>18</w:t>
      </w:r>
      <w:r>
        <w:rPr>
          <w:rFonts w:cs="Arial"/>
          <w:b/>
        </w:rPr>
        <w:t xml:space="preserve"> profiled programme of delivery, that is, full programme delivery is expected at this point</w:t>
      </w:r>
      <w:r w:rsidRPr="00892025">
        <w:rPr>
          <w:rFonts w:cs="Arial"/>
          <w:b/>
        </w:rPr>
        <w:t>. This is explained as follows:</w:t>
      </w:r>
    </w:p>
    <w:p w:rsidR="00CD16CA" w:rsidRDefault="007D6BEE" w:rsidP="00CD16CA">
      <w:pPr>
        <w:spacing w:after="0"/>
        <w:rPr>
          <w:rFonts w:cs="Arial"/>
          <w:b/>
        </w:rPr>
      </w:pPr>
    </w:p>
    <w:p w:rsidR="00853732" w:rsidRDefault="007D6BEE" w:rsidP="00CD16CA">
      <w:pPr>
        <w:spacing w:after="0"/>
        <w:rPr>
          <w:rFonts w:cs="Arial"/>
        </w:rPr>
      </w:pPr>
      <w:r>
        <w:rPr>
          <w:rFonts w:cs="Arial"/>
        </w:rPr>
        <w:t xml:space="preserve">The </w:t>
      </w:r>
      <w:r>
        <w:rPr>
          <w:rFonts w:cs="Arial"/>
        </w:rPr>
        <w:t>Q</w:t>
      </w:r>
      <w:r>
        <w:rPr>
          <w:rFonts w:cs="Arial"/>
        </w:rPr>
        <w:t>uarter</w:t>
      </w:r>
      <w:r w:rsidRPr="00892025">
        <w:rPr>
          <w:rFonts w:cs="Arial"/>
        </w:rPr>
        <w:t xml:space="preserve"> 1 forecast is for </w:t>
      </w:r>
      <w:r>
        <w:rPr>
          <w:rFonts w:cs="Arial"/>
        </w:rPr>
        <w:t>expenditure</w:t>
      </w:r>
      <w:r w:rsidRPr="00892025">
        <w:rPr>
          <w:rFonts w:cs="Arial"/>
        </w:rPr>
        <w:t xml:space="preserve"> to be on budget as more detailed work on the individual schemes is needed in terms of deli</w:t>
      </w:r>
      <w:r w:rsidRPr="00892025">
        <w:rPr>
          <w:rFonts w:cs="Arial"/>
        </w:rPr>
        <w:t>very milestones and financial impacts once schem</w:t>
      </w:r>
      <w:r>
        <w:rPr>
          <w:rFonts w:cs="Arial"/>
        </w:rPr>
        <w:t xml:space="preserve">es requirements are firmed up. </w:t>
      </w:r>
      <w:r w:rsidRPr="00892025">
        <w:rPr>
          <w:rFonts w:cs="Arial"/>
        </w:rPr>
        <w:t>Quarter 2 monitoring will contain more detailed analysis of the block position however Quarter 1 monitoring has highlighted the following:</w:t>
      </w:r>
    </w:p>
    <w:p w:rsidR="00CD16CA" w:rsidRPr="00892025" w:rsidRDefault="007D6BEE" w:rsidP="00CD16CA">
      <w:pPr>
        <w:spacing w:after="0"/>
        <w:rPr>
          <w:rFonts w:cs="Arial"/>
        </w:rPr>
      </w:pPr>
    </w:p>
    <w:p w:rsidR="00853732" w:rsidRPr="00F63361" w:rsidRDefault="007D6BEE" w:rsidP="00B96677">
      <w:pPr>
        <w:spacing w:after="0"/>
        <w:rPr>
          <w:rFonts w:cs="Arial"/>
        </w:rPr>
      </w:pPr>
      <w:r w:rsidRPr="00892025">
        <w:rPr>
          <w:rFonts w:cs="Arial"/>
        </w:rPr>
        <w:t>Within the 2017/18</w:t>
      </w:r>
      <w:r>
        <w:rPr>
          <w:rFonts w:cs="Arial"/>
        </w:rPr>
        <w:t xml:space="preserve"> actual spend </w:t>
      </w:r>
      <w:r>
        <w:rPr>
          <w:rFonts w:cs="Arial"/>
        </w:rPr>
        <w:t>to da</w:t>
      </w:r>
      <w:r>
        <w:rPr>
          <w:rFonts w:cs="Arial"/>
        </w:rPr>
        <w:t xml:space="preserve">te </w:t>
      </w:r>
      <w:r>
        <w:rPr>
          <w:rFonts w:cs="Arial"/>
        </w:rPr>
        <w:t>of £16.216</w:t>
      </w:r>
      <w:r w:rsidRPr="00892025">
        <w:rPr>
          <w:rFonts w:cs="Arial"/>
        </w:rPr>
        <w:t xml:space="preserve">m, £11.780m </w:t>
      </w:r>
      <w:r>
        <w:rPr>
          <w:rFonts w:cs="Arial"/>
        </w:rPr>
        <w:t xml:space="preserve">relates to projects </w:t>
      </w:r>
      <w:r>
        <w:rPr>
          <w:rFonts w:cs="Arial"/>
        </w:rPr>
        <w:t>where the budget was in earlier years.  These projects are part of the 2017/18 programme of delivery.</w:t>
      </w:r>
      <w:r w:rsidRPr="00892025">
        <w:rPr>
          <w:rFonts w:cs="Arial"/>
        </w:rPr>
        <w:t xml:space="preserve"> </w:t>
      </w:r>
    </w:p>
    <w:p w:rsidR="00853732" w:rsidRPr="00892025" w:rsidRDefault="007D6BEE" w:rsidP="00CD16CA">
      <w:pPr>
        <w:spacing w:after="0"/>
        <w:rPr>
          <w:rFonts w:cs="Arial"/>
        </w:rPr>
      </w:pPr>
    </w:p>
    <w:p w:rsidR="00853732" w:rsidRDefault="007D6BEE" w:rsidP="00CD16CA">
      <w:pPr>
        <w:spacing w:after="0"/>
        <w:rPr>
          <w:rFonts w:cs="Arial"/>
        </w:rPr>
      </w:pPr>
      <w:r>
        <w:rPr>
          <w:rFonts w:cs="Arial"/>
        </w:rPr>
        <w:t>In addition to earlier year schemes there are also</w:t>
      </w:r>
      <w:r w:rsidRPr="00892025">
        <w:rPr>
          <w:rFonts w:cs="Arial"/>
        </w:rPr>
        <w:t xml:space="preserve"> 232 schemes which have a combined 2017/18 budget of £12.</w:t>
      </w:r>
      <w:r w:rsidRPr="00892025">
        <w:rPr>
          <w:rFonts w:cs="Arial"/>
        </w:rPr>
        <w:t>600m but where there is no spend in Q</w:t>
      </w:r>
      <w:r>
        <w:rPr>
          <w:rFonts w:cs="Arial"/>
        </w:rPr>
        <w:t xml:space="preserve">uarter </w:t>
      </w:r>
      <w:r w:rsidRPr="00892025">
        <w:rPr>
          <w:rFonts w:cs="Arial"/>
        </w:rPr>
        <w:t>1 on the schemes</w:t>
      </w:r>
      <w:r>
        <w:rPr>
          <w:rFonts w:cs="Arial"/>
        </w:rPr>
        <w:t xml:space="preserve"> to date</w:t>
      </w:r>
      <w:r w:rsidRPr="00892025">
        <w:rPr>
          <w:rFonts w:cs="Arial"/>
        </w:rPr>
        <w:t xml:space="preserve">. </w:t>
      </w:r>
      <w:r>
        <w:rPr>
          <w:rFonts w:cs="Arial"/>
        </w:rPr>
        <w:t>The delivery status on</w:t>
      </w:r>
      <w:r>
        <w:rPr>
          <w:rFonts w:cs="Arial"/>
        </w:rPr>
        <w:t xml:space="preserve"> these will be outlined in the Q</w:t>
      </w:r>
      <w:r>
        <w:rPr>
          <w:rFonts w:cs="Arial"/>
        </w:rPr>
        <w:t>uarter 2 monitoring report, for the purposes of this report it has been assumed that delivery will be as per the approved programme</w:t>
      </w:r>
      <w:r>
        <w:rPr>
          <w:rFonts w:cs="Arial"/>
        </w:rPr>
        <w:t xml:space="preserve"> </w:t>
      </w:r>
      <w:r>
        <w:rPr>
          <w:rFonts w:cs="Arial"/>
        </w:rPr>
        <w:t>given that many of these schem</w:t>
      </w:r>
      <w:r>
        <w:rPr>
          <w:rFonts w:cs="Arial"/>
        </w:rPr>
        <w:t>e</w:t>
      </w:r>
      <w:r>
        <w:rPr>
          <w:rFonts w:cs="Arial"/>
        </w:rPr>
        <w:t>s will not ha</w:t>
      </w:r>
      <w:r>
        <w:rPr>
          <w:rFonts w:cs="Arial"/>
        </w:rPr>
        <w:t>ve been programmed to start in Q</w:t>
      </w:r>
      <w:r>
        <w:rPr>
          <w:rFonts w:cs="Arial"/>
        </w:rPr>
        <w:t>uarter 1.</w:t>
      </w:r>
      <w:r w:rsidRPr="00892025">
        <w:rPr>
          <w:rFonts w:cs="Arial"/>
        </w:rPr>
        <w:t xml:space="preserve">  </w:t>
      </w:r>
    </w:p>
    <w:p w:rsidR="00CD16CA" w:rsidRPr="00892025" w:rsidRDefault="007D6BEE" w:rsidP="00CD16CA">
      <w:pPr>
        <w:spacing w:after="0"/>
        <w:rPr>
          <w:rFonts w:cs="Arial"/>
        </w:rPr>
      </w:pPr>
    </w:p>
    <w:p w:rsidR="00853732" w:rsidRPr="00892025" w:rsidRDefault="007D6BEE" w:rsidP="00CD16CA">
      <w:pPr>
        <w:spacing w:after="0"/>
        <w:rPr>
          <w:rFonts w:cs="Arial"/>
        </w:rPr>
      </w:pPr>
      <w:r w:rsidRPr="00892025">
        <w:rPr>
          <w:rFonts w:cs="Arial"/>
        </w:rPr>
        <w:lastRenderedPageBreak/>
        <w:t>There is £8.000m of unallocated budgets within Highways which relate to 2017/18 or prior years</w:t>
      </w:r>
      <w:r>
        <w:rPr>
          <w:rFonts w:cs="Arial"/>
        </w:rPr>
        <w:t>, this does not include the additional £5</w:t>
      </w:r>
      <w:r>
        <w:rPr>
          <w:rFonts w:cs="Arial"/>
        </w:rPr>
        <w:t>.000</w:t>
      </w:r>
      <w:r>
        <w:rPr>
          <w:rFonts w:cs="Arial"/>
        </w:rPr>
        <w:t xml:space="preserve">m added at the July Cabinet for which schemes </w:t>
      </w:r>
      <w:r>
        <w:rPr>
          <w:rFonts w:cs="Arial"/>
        </w:rPr>
        <w:t xml:space="preserve">have been allocated and </w:t>
      </w:r>
      <w:r>
        <w:rPr>
          <w:rFonts w:cs="Arial"/>
        </w:rPr>
        <w:t>are currently being added to PPMS</w:t>
      </w:r>
      <w:r>
        <w:rPr>
          <w:rFonts w:cs="Arial"/>
        </w:rPr>
        <w:t xml:space="preserve">.  </w:t>
      </w:r>
      <w:r>
        <w:rPr>
          <w:rFonts w:cs="Arial"/>
        </w:rPr>
        <w:t>As mentioned at the beginning of this report much of the currently unallocated funds will be programmed throughout the year</w:t>
      </w:r>
      <w:r>
        <w:rPr>
          <w:rFonts w:cs="Arial"/>
        </w:rPr>
        <w:t>, with the Q</w:t>
      </w:r>
      <w:r>
        <w:rPr>
          <w:rFonts w:cs="Arial"/>
        </w:rPr>
        <w:t>uarter 2 report</w:t>
      </w:r>
      <w:r>
        <w:rPr>
          <w:rFonts w:cs="Arial"/>
        </w:rPr>
        <w:t xml:space="preserve"> providing more details.</w:t>
      </w:r>
      <w:r>
        <w:rPr>
          <w:rFonts w:cs="Arial"/>
        </w:rPr>
        <w:t xml:space="preserve"> </w:t>
      </w:r>
    </w:p>
    <w:p w:rsidR="00853732" w:rsidRPr="00892025" w:rsidRDefault="007D6BEE" w:rsidP="00CD16CA">
      <w:pPr>
        <w:spacing w:after="0"/>
        <w:rPr>
          <w:rFonts w:cs="Arial"/>
          <w:b/>
          <w:highlight w:val="lightGray"/>
        </w:rPr>
      </w:pPr>
    </w:p>
    <w:p w:rsidR="00853732" w:rsidRDefault="007D6BEE" w:rsidP="00CD16CA">
      <w:pPr>
        <w:spacing w:after="0"/>
        <w:rPr>
          <w:rFonts w:cs="Arial"/>
          <w:b/>
        </w:rPr>
      </w:pPr>
      <w:r>
        <w:rPr>
          <w:rFonts w:cs="Arial"/>
          <w:b/>
        </w:rPr>
        <w:t>3.5 Corporate</w:t>
      </w:r>
    </w:p>
    <w:p w:rsidR="00853732" w:rsidRPr="00892025" w:rsidRDefault="007D6BEE" w:rsidP="00CD16CA">
      <w:pPr>
        <w:spacing w:after="0"/>
        <w:rPr>
          <w:rFonts w:cs="Arial"/>
          <w:b/>
        </w:rPr>
      </w:pPr>
    </w:p>
    <w:p w:rsidR="00853732" w:rsidRPr="00892025" w:rsidRDefault="007D6BEE" w:rsidP="00CD16CA">
      <w:pPr>
        <w:spacing w:after="0"/>
        <w:rPr>
          <w:rFonts w:cs="Arial"/>
          <w:b/>
        </w:rPr>
      </w:pPr>
      <w:r>
        <w:rPr>
          <w:rFonts w:cs="Arial"/>
          <w:b/>
        </w:rPr>
        <w:t xml:space="preserve">A net </w:t>
      </w:r>
      <w:r>
        <w:rPr>
          <w:rFonts w:cs="Arial"/>
          <w:b/>
        </w:rPr>
        <w:t>spend less than budget of</w:t>
      </w:r>
      <w:r>
        <w:rPr>
          <w:rFonts w:cs="Arial"/>
          <w:b/>
        </w:rPr>
        <w:t xml:space="preserve"> £0.259</w:t>
      </w:r>
      <w:r w:rsidRPr="00892025">
        <w:rPr>
          <w:rFonts w:cs="Arial"/>
          <w:b/>
        </w:rPr>
        <w:t>m is forecast on the current 2017/18</w:t>
      </w:r>
      <w:r>
        <w:rPr>
          <w:rFonts w:cs="Arial"/>
          <w:b/>
        </w:rPr>
        <w:t xml:space="preserve"> profiled delivery programme</w:t>
      </w:r>
      <w:r w:rsidRPr="00892025">
        <w:rPr>
          <w:rFonts w:cs="Arial"/>
          <w:b/>
        </w:rPr>
        <w:t>. This is explained as follows:</w:t>
      </w:r>
    </w:p>
    <w:p w:rsidR="00853732" w:rsidRDefault="007D6BEE" w:rsidP="00CD16CA">
      <w:pPr>
        <w:spacing w:after="0"/>
        <w:rPr>
          <w:rFonts w:cs="Arial"/>
        </w:rPr>
      </w:pPr>
    </w:p>
    <w:p w:rsidR="00853732" w:rsidRPr="00F63361" w:rsidRDefault="007D6BEE" w:rsidP="00805FB1">
      <w:pPr>
        <w:pStyle w:val="ListParagraph"/>
        <w:numPr>
          <w:ilvl w:val="0"/>
          <w:numId w:val="37"/>
        </w:numPr>
        <w:spacing w:after="0"/>
        <w:rPr>
          <w:rFonts w:cs="Arial"/>
          <w:color w:val="A6A6A6" w:themeColor="background1" w:themeShade="A6"/>
        </w:rPr>
      </w:pPr>
      <w:r w:rsidRPr="00F63361">
        <w:rPr>
          <w:rFonts w:cs="Arial"/>
        </w:rPr>
        <w:t xml:space="preserve">County Hall Refurbishment – A forecast variance in 2017/18 of £0.800m (£0.500m </w:t>
      </w:r>
      <w:r w:rsidRPr="00F63361">
        <w:rPr>
          <w:rFonts w:cs="Arial"/>
        </w:rPr>
        <w:t xml:space="preserve">is slippage from 2016/17, £0.100m </w:t>
      </w:r>
      <w:r w:rsidRPr="00F63361">
        <w:rPr>
          <w:rFonts w:cs="Arial"/>
          <w:color w:val="auto"/>
        </w:rPr>
        <w:t xml:space="preserve">is in advance of the 2018/19 budget and the balance £0.2m is a forecast project overspend) Available to spend within PPMS is £0.322m and additional contractor payment of </w:t>
      </w:r>
      <w:r>
        <w:rPr>
          <w:rFonts w:cs="Arial"/>
          <w:color w:val="auto"/>
        </w:rPr>
        <w:t>c</w:t>
      </w:r>
      <w:r w:rsidRPr="00F63361">
        <w:rPr>
          <w:rFonts w:cs="Arial"/>
          <w:color w:val="auto"/>
        </w:rPr>
        <w:t>£0.365m are expected along with other fees and cost</w:t>
      </w:r>
      <w:r w:rsidRPr="00F63361">
        <w:rPr>
          <w:rFonts w:cs="Arial"/>
          <w:color w:val="auto"/>
        </w:rPr>
        <w:t>s which are likely to lead to a project cost overrun</w:t>
      </w:r>
      <w:r>
        <w:rPr>
          <w:rFonts w:cs="Arial"/>
          <w:color w:val="auto"/>
        </w:rPr>
        <w:t>.</w:t>
      </w:r>
    </w:p>
    <w:p w:rsidR="00853732" w:rsidRPr="00F63361" w:rsidRDefault="007D6BEE" w:rsidP="00CD16CA">
      <w:pPr>
        <w:pStyle w:val="ListParagraph"/>
        <w:spacing w:after="0"/>
        <w:rPr>
          <w:rFonts w:cs="Arial"/>
          <w:color w:val="A6A6A6" w:themeColor="background1" w:themeShade="A6"/>
        </w:rPr>
      </w:pPr>
    </w:p>
    <w:p w:rsidR="00853732" w:rsidRPr="00F63361" w:rsidRDefault="007D6BEE" w:rsidP="00CD16CA">
      <w:pPr>
        <w:pStyle w:val="ListParagraph"/>
        <w:numPr>
          <w:ilvl w:val="0"/>
          <w:numId w:val="33"/>
        </w:numPr>
        <w:spacing w:after="0"/>
        <w:rPr>
          <w:rFonts w:cs="Arial"/>
          <w:color w:val="auto"/>
        </w:rPr>
      </w:pPr>
      <w:r w:rsidRPr="00F63361">
        <w:rPr>
          <w:rFonts w:cs="Arial"/>
        </w:rPr>
        <w:t>Prop</w:t>
      </w:r>
      <w:r>
        <w:rPr>
          <w:rFonts w:cs="Arial"/>
        </w:rPr>
        <w:t xml:space="preserve">erty Rationalisation Programme - </w:t>
      </w:r>
      <w:r w:rsidRPr="00F63361">
        <w:rPr>
          <w:rFonts w:cs="Arial"/>
        </w:rPr>
        <w:t>Revised Budget £2.627m only £0.003 spend t</w:t>
      </w:r>
      <w:r>
        <w:rPr>
          <w:rFonts w:cs="Arial"/>
        </w:rPr>
        <w:t xml:space="preserve">o date.  Forecast assumes </w:t>
      </w:r>
      <w:r>
        <w:rPr>
          <w:rFonts w:cs="Arial"/>
        </w:rPr>
        <w:t>£0.159m slippage</w:t>
      </w:r>
      <w:r w:rsidRPr="00F63361">
        <w:rPr>
          <w:rFonts w:cs="Arial"/>
        </w:rPr>
        <w:t xml:space="preserve"> in </w:t>
      </w:r>
      <w:r>
        <w:rPr>
          <w:rFonts w:cs="Arial"/>
        </w:rPr>
        <w:t>2017/</w:t>
      </w:r>
      <w:r w:rsidRPr="00F63361">
        <w:rPr>
          <w:rFonts w:cs="Arial"/>
        </w:rPr>
        <w:t>18</w:t>
      </w:r>
      <w:r>
        <w:rPr>
          <w:rFonts w:cs="Arial"/>
        </w:rPr>
        <w:t>.</w:t>
      </w:r>
    </w:p>
    <w:p w:rsidR="00853732" w:rsidRPr="00F63361" w:rsidRDefault="007D6BEE" w:rsidP="00CD16CA">
      <w:pPr>
        <w:pStyle w:val="ListParagraph"/>
        <w:spacing w:after="0"/>
        <w:rPr>
          <w:rFonts w:cs="Arial"/>
          <w:color w:val="auto"/>
        </w:rPr>
      </w:pPr>
    </w:p>
    <w:p w:rsidR="00853732" w:rsidRDefault="007D6BEE" w:rsidP="00CD16CA">
      <w:pPr>
        <w:pStyle w:val="ListParagraph"/>
        <w:numPr>
          <w:ilvl w:val="0"/>
          <w:numId w:val="33"/>
        </w:numPr>
        <w:spacing w:after="0"/>
        <w:rPr>
          <w:rFonts w:cs="Arial"/>
        </w:rPr>
      </w:pPr>
      <w:r w:rsidRPr="00F63361">
        <w:rPr>
          <w:rFonts w:cs="Arial"/>
        </w:rPr>
        <w:t>Within Econom</w:t>
      </w:r>
      <w:r>
        <w:rPr>
          <w:rFonts w:cs="Arial"/>
        </w:rPr>
        <w:t>ic Development there is slippage</w:t>
      </w:r>
      <w:r w:rsidRPr="00F63361">
        <w:rPr>
          <w:rFonts w:cs="Arial"/>
        </w:rPr>
        <w:t xml:space="preserve"> on Brierfield Mill of £0.700m (slipped from 20</w:t>
      </w:r>
      <w:r>
        <w:rPr>
          <w:rFonts w:cs="Arial"/>
        </w:rPr>
        <w:t>16/17) and £1.200m of</w:t>
      </w:r>
      <w:r w:rsidRPr="00F63361">
        <w:rPr>
          <w:rFonts w:cs="Arial"/>
        </w:rPr>
        <w:t xml:space="preserve"> unallocated budget which is forecast as not being spent in 2017/18</w:t>
      </w:r>
      <w:r>
        <w:rPr>
          <w:rFonts w:cs="Arial"/>
        </w:rPr>
        <w:t xml:space="preserve">. </w:t>
      </w:r>
    </w:p>
    <w:p w:rsidR="00805FB1" w:rsidRDefault="007D6BEE" w:rsidP="00805FB1">
      <w:pPr>
        <w:pStyle w:val="ListParagraph"/>
        <w:rPr>
          <w:rFonts w:cs="Arial"/>
        </w:rPr>
      </w:pPr>
    </w:p>
    <w:p w:rsidR="00853732" w:rsidRPr="00F63361" w:rsidRDefault="007D6BEE" w:rsidP="00853732">
      <w:pPr>
        <w:pStyle w:val="ListParagraph"/>
        <w:numPr>
          <w:ilvl w:val="0"/>
          <w:numId w:val="33"/>
        </w:numPr>
        <w:rPr>
          <w:rFonts w:cs="Arial"/>
        </w:rPr>
      </w:pPr>
      <w:r w:rsidRPr="00F63361">
        <w:rPr>
          <w:rFonts w:cs="Arial"/>
        </w:rPr>
        <w:t>Green Energy – Renewable Ene</w:t>
      </w:r>
      <w:r>
        <w:rPr>
          <w:rFonts w:cs="Arial"/>
        </w:rPr>
        <w:t xml:space="preserve">rgy Schemes County </w:t>
      </w:r>
      <w:r>
        <w:rPr>
          <w:rFonts w:cs="Arial"/>
        </w:rPr>
        <w:t xml:space="preserve">Buildings are </w:t>
      </w:r>
      <w:r>
        <w:rPr>
          <w:rFonts w:cs="Arial"/>
        </w:rPr>
        <w:t>f</w:t>
      </w:r>
      <w:r w:rsidRPr="00F63361">
        <w:rPr>
          <w:rFonts w:cs="Arial"/>
        </w:rPr>
        <w:t>orecast underspend in 2017/18 of £0.700m.  Only two sch</w:t>
      </w:r>
      <w:r w:rsidRPr="00F63361">
        <w:rPr>
          <w:rFonts w:cs="Arial"/>
        </w:rPr>
        <w:t xml:space="preserve">emes have been started with estimated expenditure of £0.251m in </w:t>
      </w:r>
      <w:r>
        <w:rPr>
          <w:rFonts w:cs="Arial"/>
        </w:rPr>
        <w:t>2017/</w:t>
      </w:r>
      <w:r w:rsidRPr="00F63361">
        <w:rPr>
          <w:rFonts w:cs="Arial"/>
        </w:rPr>
        <w:t>18</w:t>
      </w:r>
      <w:r>
        <w:rPr>
          <w:rFonts w:cs="Arial"/>
        </w:rPr>
        <w:t xml:space="preserve"> and in addition </w:t>
      </w:r>
      <w:r>
        <w:rPr>
          <w:rFonts w:cs="Arial"/>
          <w:color w:val="auto"/>
        </w:rPr>
        <w:t xml:space="preserve">£2.7m is unallocated. </w:t>
      </w:r>
    </w:p>
    <w:p w:rsidR="00853732" w:rsidRPr="00F63361" w:rsidRDefault="007D6BEE" w:rsidP="00853732">
      <w:pPr>
        <w:pStyle w:val="ListParagraph"/>
        <w:rPr>
          <w:rFonts w:cs="Arial"/>
        </w:rPr>
      </w:pPr>
    </w:p>
    <w:p w:rsidR="00853732" w:rsidRDefault="007D6BEE" w:rsidP="00805FB1">
      <w:pPr>
        <w:pStyle w:val="ListParagraph"/>
        <w:numPr>
          <w:ilvl w:val="0"/>
          <w:numId w:val="33"/>
        </w:numPr>
        <w:spacing w:after="0"/>
        <w:rPr>
          <w:rFonts w:cs="Arial"/>
        </w:rPr>
      </w:pPr>
      <w:r w:rsidRPr="00F63361">
        <w:rPr>
          <w:rFonts w:cs="Arial"/>
        </w:rPr>
        <w:t>Co</w:t>
      </w:r>
      <w:r>
        <w:rPr>
          <w:rFonts w:cs="Arial"/>
        </w:rPr>
        <w:t xml:space="preserve">re Systems – slippage </w:t>
      </w:r>
      <w:r w:rsidRPr="00F63361">
        <w:rPr>
          <w:rFonts w:cs="Arial"/>
        </w:rPr>
        <w:t>of £0.300m</w:t>
      </w:r>
      <w:r>
        <w:rPr>
          <w:rFonts w:cs="Arial"/>
        </w:rPr>
        <w:t xml:space="preserve"> </w:t>
      </w:r>
      <w:r w:rsidRPr="00F63361">
        <w:rPr>
          <w:rFonts w:cs="Arial"/>
        </w:rPr>
        <w:t>from 2016/17.</w:t>
      </w:r>
    </w:p>
    <w:p w:rsidR="00805FB1" w:rsidRDefault="007D6BEE" w:rsidP="00805FB1">
      <w:pPr>
        <w:spacing w:after="0"/>
        <w:rPr>
          <w:rFonts w:cs="Arial"/>
        </w:rPr>
      </w:pPr>
    </w:p>
    <w:p w:rsidR="00853732" w:rsidRDefault="007D6BEE" w:rsidP="00805FB1">
      <w:pPr>
        <w:spacing w:after="0"/>
        <w:rPr>
          <w:rFonts w:cs="Arial"/>
          <w:i/>
        </w:rPr>
      </w:pPr>
      <w:r>
        <w:rPr>
          <w:rFonts w:cs="Arial"/>
          <w:i/>
        </w:rPr>
        <w:t>O</w:t>
      </w:r>
      <w:r w:rsidRPr="00DC4335">
        <w:rPr>
          <w:rFonts w:cs="Arial"/>
          <w:i/>
        </w:rPr>
        <w:t>ther notes/comments</w:t>
      </w:r>
      <w:r>
        <w:rPr>
          <w:rFonts w:cs="Arial"/>
          <w:i/>
        </w:rPr>
        <w:t>:</w:t>
      </w:r>
    </w:p>
    <w:p w:rsidR="00805FB1" w:rsidRPr="00DC4335" w:rsidRDefault="007D6BEE" w:rsidP="00805FB1">
      <w:pPr>
        <w:spacing w:after="0"/>
        <w:rPr>
          <w:rFonts w:cs="Arial"/>
          <w:i/>
        </w:rPr>
      </w:pPr>
    </w:p>
    <w:p w:rsidR="00853732" w:rsidRDefault="007D6BEE" w:rsidP="00805FB1">
      <w:pPr>
        <w:pStyle w:val="ListParagraph"/>
        <w:numPr>
          <w:ilvl w:val="0"/>
          <w:numId w:val="26"/>
        </w:numPr>
        <w:spacing w:after="0"/>
        <w:rPr>
          <w:rFonts w:cs="Arial"/>
          <w:color w:val="A6A6A6" w:themeColor="background1" w:themeShade="A6"/>
        </w:rPr>
      </w:pPr>
      <w:r w:rsidRPr="00805FB1">
        <w:rPr>
          <w:rFonts w:cs="Arial"/>
          <w:color w:val="auto"/>
        </w:rPr>
        <w:t xml:space="preserve">Superfast Extension Project – Budget of £1.930m with no spend to date. </w:t>
      </w:r>
      <w:r>
        <w:rPr>
          <w:rFonts w:cs="Arial"/>
          <w:color w:val="auto"/>
        </w:rPr>
        <w:t>The fore</w:t>
      </w:r>
      <w:r w:rsidRPr="00805FB1">
        <w:rPr>
          <w:rFonts w:cs="Arial"/>
          <w:color w:val="auto"/>
        </w:rPr>
        <w:t xml:space="preserve">cast assumes all </w:t>
      </w:r>
      <w:r>
        <w:rPr>
          <w:rFonts w:cs="Arial"/>
          <w:color w:val="auto"/>
        </w:rPr>
        <w:t xml:space="preserve">budget will </w:t>
      </w:r>
      <w:r w:rsidRPr="00805FB1">
        <w:rPr>
          <w:rFonts w:cs="Arial"/>
          <w:color w:val="auto"/>
        </w:rPr>
        <w:t xml:space="preserve">be spent in 2017/18 but not including the amount </w:t>
      </w:r>
      <w:r>
        <w:rPr>
          <w:rFonts w:cs="Arial"/>
          <w:color w:val="auto"/>
        </w:rPr>
        <w:t xml:space="preserve">that </w:t>
      </w:r>
      <w:r w:rsidRPr="00805FB1">
        <w:rPr>
          <w:rFonts w:cs="Arial"/>
          <w:color w:val="auto"/>
        </w:rPr>
        <w:t xml:space="preserve">slipped </w:t>
      </w:r>
      <w:r w:rsidRPr="00DC4335">
        <w:rPr>
          <w:rFonts w:cs="Arial"/>
        </w:rPr>
        <w:t>from 2016/17 as there is a risk that it might not catch up</w:t>
      </w:r>
      <w:r>
        <w:rPr>
          <w:rFonts w:cs="Arial"/>
        </w:rPr>
        <w:t>.</w:t>
      </w:r>
    </w:p>
    <w:p w:rsidR="00853732" w:rsidRPr="00DC4335" w:rsidRDefault="007D6BEE" w:rsidP="00805FB1">
      <w:pPr>
        <w:pStyle w:val="ListParagraph"/>
        <w:spacing w:after="0"/>
        <w:rPr>
          <w:rFonts w:cs="Arial"/>
          <w:color w:val="A6A6A6" w:themeColor="background1" w:themeShade="A6"/>
        </w:rPr>
      </w:pPr>
    </w:p>
    <w:p w:rsidR="00853732" w:rsidRPr="009D6683" w:rsidRDefault="007D6BEE" w:rsidP="00805FB1">
      <w:pPr>
        <w:pStyle w:val="ListParagraph"/>
        <w:numPr>
          <w:ilvl w:val="0"/>
          <w:numId w:val="26"/>
        </w:numPr>
        <w:spacing w:after="0"/>
        <w:rPr>
          <w:rFonts w:cs="Arial"/>
          <w:color w:val="auto"/>
        </w:rPr>
      </w:pPr>
      <w:r w:rsidRPr="00DC4335">
        <w:rPr>
          <w:rFonts w:cs="Arial"/>
        </w:rPr>
        <w:t>Property Rationalisation Programme Dilapidations</w:t>
      </w:r>
      <w:r>
        <w:rPr>
          <w:rFonts w:cs="Arial"/>
        </w:rPr>
        <w:t xml:space="preserve"> </w:t>
      </w:r>
      <w:r w:rsidRPr="00DC4335">
        <w:rPr>
          <w:rFonts w:cs="Arial"/>
        </w:rPr>
        <w:t xml:space="preserve">- Revised Budget £0.500m only £0.053m spend to date.  </w:t>
      </w:r>
      <w:r>
        <w:rPr>
          <w:rFonts w:cs="Arial"/>
        </w:rPr>
        <w:t>The f</w:t>
      </w:r>
      <w:r w:rsidRPr="00DC4335">
        <w:rPr>
          <w:rFonts w:cs="Arial"/>
        </w:rPr>
        <w:t>o</w:t>
      </w:r>
      <w:r>
        <w:rPr>
          <w:rFonts w:cs="Arial"/>
        </w:rPr>
        <w:t xml:space="preserve">recast assumes </w:t>
      </w:r>
      <w:r>
        <w:rPr>
          <w:rFonts w:cs="Arial"/>
        </w:rPr>
        <w:t xml:space="preserve">the budget will be spent. </w:t>
      </w:r>
    </w:p>
    <w:p w:rsidR="00853732" w:rsidRPr="009D6683" w:rsidRDefault="007D6BEE" w:rsidP="00805FB1">
      <w:pPr>
        <w:spacing w:after="0"/>
        <w:rPr>
          <w:rFonts w:cs="Arial"/>
          <w:color w:val="auto"/>
        </w:rPr>
      </w:pPr>
    </w:p>
    <w:p w:rsidR="00853732" w:rsidRDefault="007D6BEE" w:rsidP="00805FB1">
      <w:pPr>
        <w:pStyle w:val="ListParagraph"/>
        <w:numPr>
          <w:ilvl w:val="0"/>
          <w:numId w:val="26"/>
        </w:numPr>
        <w:spacing w:after="0"/>
        <w:rPr>
          <w:rFonts w:cs="Arial"/>
          <w:color w:val="auto"/>
        </w:rPr>
      </w:pPr>
      <w:r w:rsidRPr="00DC4335">
        <w:rPr>
          <w:rFonts w:cs="Arial"/>
          <w:color w:val="auto"/>
        </w:rPr>
        <w:t xml:space="preserve">Unallocated Budgets totalling £8.7m as detailed below:- </w:t>
      </w:r>
    </w:p>
    <w:p w:rsidR="00853732" w:rsidRPr="009D6683" w:rsidRDefault="007D6BEE" w:rsidP="00805FB1">
      <w:pPr>
        <w:spacing w:after="0"/>
        <w:rPr>
          <w:rFonts w:cs="Arial"/>
          <w:color w:val="auto"/>
        </w:rPr>
      </w:pPr>
    </w:p>
    <w:p w:rsidR="00853732" w:rsidRPr="00DC4335" w:rsidRDefault="007D6BEE" w:rsidP="00805FB1">
      <w:pPr>
        <w:pStyle w:val="ListParagraph"/>
        <w:numPr>
          <w:ilvl w:val="1"/>
          <w:numId w:val="26"/>
        </w:numPr>
        <w:spacing w:after="0"/>
        <w:rPr>
          <w:rFonts w:cs="Arial"/>
          <w:color w:val="auto"/>
        </w:rPr>
      </w:pPr>
      <w:r w:rsidRPr="00DC4335">
        <w:rPr>
          <w:rFonts w:cs="Arial"/>
          <w:color w:val="auto"/>
        </w:rPr>
        <w:t>Economic Development £3.269m – reserved for future priorities</w:t>
      </w:r>
      <w:r>
        <w:rPr>
          <w:rFonts w:cs="Arial"/>
          <w:color w:val="auto"/>
        </w:rPr>
        <w:t>, including £1.200m from 2017/18</w:t>
      </w:r>
      <w:r w:rsidRPr="00DC4335">
        <w:rPr>
          <w:rFonts w:cs="Arial"/>
          <w:color w:val="auto"/>
        </w:rPr>
        <w:t xml:space="preserve">. </w:t>
      </w:r>
      <w:r w:rsidRPr="00DC4335">
        <w:rPr>
          <w:rFonts w:cs="Arial"/>
          <w:color w:val="auto"/>
        </w:rPr>
        <w:t xml:space="preserve"> </w:t>
      </w:r>
    </w:p>
    <w:p w:rsidR="00853732" w:rsidRPr="00DC4335" w:rsidRDefault="007D6BEE" w:rsidP="00805FB1">
      <w:pPr>
        <w:pStyle w:val="ListParagraph"/>
        <w:numPr>
          <w:ilvl w:val="1"/>
          <w:numId w:val="26"/>
        </w:numPr>
        <w:spacing w:after="0"/>
        <w:rPr>
          <w:rFonts w:cs="Arial"/>
          <w:color w:val="auto"/>
        </w:rPr>
      </w:pPr>
      <w:r w:rsidRPr="00DC4335">
        <w:rPr>
          <w:rFonts w:cs="Arial"/>
          <w:color w:val="auto"/>
        </w:rPr>
        <w:t xml:space="preserve">Property Rationalisation Dilapidations on terminated or surrendered leases </w:t>
      </w:r>
      <w:r>
        <w:rPr>
          <w:rFonts w:cs="Arial"/>
          <w:color w:val="auto"/>
        </w:rPr>
        <w:t xml:space="preserve">- </w:t>
      </w:r>
      <w:r w:rsidRPr="00DC4335">
        <w:rPr>
          <w:rFonts w:cs="Arial"/>
          <w:color w:val="auto"/>
        </w:rPr>
        <w:t>£1.475m</w:t>
      </w:r>
      <w:r>
        <w:rPr>
          <w:rFonts w:cs="Arial"/>
          <w:color w:val="auto"/>
        </w:rPr>
        <w:t xml:space="preserve">. </w:t>
      </w:r>
    </w:p>
    <w:p w:rsidR="00853732" w:rsidRPr="00DC4335" w:rsidRDefault="007D6BEE" w:rsidP="00805FB1">
      <w:pPr>
        <w:pStyle w:val="ListParagraph"/>
        <w:numPr>
          <w:ilvl w:val="1"/>
          <w:numId w:val="26"/>
        </w:numPr>
        <w:spacing w:after="0"/>
        <w:rPr>
          <w:rFonts w:cs="Arial"/>
          <w:color w:val="auto"/>
        </w:rPr>
      </w:pPr>
      <w:r w:rsidRPr="00DC4335">
        <w:rPr>
          <w:rFonts w:cs="Arial"/>
          <w:color w:val="auto"/>
        </w:rPr>
        <w:t>Property Rational</w:t>
      </w:r>
      <w:r>
        <w:rPr>
          <w:rFonts w:cs="Arial"/>
          <w:color w:val="auto"/>
        </w:rPr>
        <w:t xml:space="preserve">isation Neighbourhood centres - </w:t>
      </w:r>
      <w:r w:rsidRPr="00DC4335">
        <w:rPr>
          <w:rFonts w:cs="Arial"/>
          <w:color w:val="auto"/>
        </w:rPr>
        <w:t>Feasibility Studies/Signs</w:t>
      </w:r>
      <w:r>
        <w:rPr>
          <w:rFonts w:cs="Arial"/>
          <w:color w:val="auto"/>
        </w:rPr>
        <w:t xml:space="preserve"> - </w:t>
      </w:r>
      <w:r w:rsidRPr="00DC4335">
        <w:rPr>
          <w:rFonts w:cs="Arial"/>
          <w:color w:val="auto"/>
        </w:rPr>
        <w:t>£</w:t>
      </w:r>
      <w:r w:rsidRPr="00DC4335">
        <w:rPr>
          <w:rFonts w:cs="Arial"/>
          <w:color w:val="auto"/>
        </w:rPr>
        <w:t>0.189m</w:t>
      </w:r>
      <w:r>
        <w:rPr>
          <w:rFonts w:cs="Arial"/>
          <w:color w:val="auto"/>
        </w:rPr>
        <w:t xml:space="preserve">. </w:t>
      </w:r>
    </w:p>
    <w:p w:rsidR="00853732" w:rsidRPr="00DC4335" w:rsidRDefault="007D6BEE" w:rsidP="00805FB1">
      <w:pPr>
        <w:pStyle w:val="ListParagraph"/>
        <w:numPr>
          <w:ilvl w:val="1"/>
          <w:numId w:val="26"/>
        </w:numPr>
        <w:spacing w:after="0"/>
        <w:rPr>
          <w:rFonts w:cs="Arial"/>
          <w:color w:val="auto"/>
        </w:rPr>
      </w:pPr>
      <w:r w:rsidRPr="00DC4335">
        <w:rPr>
          <w:rFonts w:cs="Arial"/>
          <w:color w:val="auto"/>
        </w:rPr>
        <w:t>Green Energy Fund suppo</w:t>
      </w:r>
      <w:r>
        <w:rPr>
          <w:rFonts w:cs="Arial"/>
          <w:color w:val="auto"/>
        </w:rPr>
        <w:t>rt for Lancashire Businesses – £1.000m</w:t>
      </w:r>
    </w:p>
    <w:p w:rsidR="00853732" w:rsidRPr="00DC4335" w:rsidRDefault="007D6BEE" w:rsidP="00805FB1">
      <w:pPr>
        <w:pStyle w:val="ListParagraph"/>
        <w:numPr>
          <w:ilvl w:val="1"/>
          <w:numId w:val="26"/>
        </w:numPr>
        <w:spacing w:after="0"/>
        <w:rPr>
          <w:rFonts w:cs="Arial"/>
          <w:color w:val="auto"/>
        </w:rPr>
      </w:pPr>
      <w:r w:rsidRPr="00DC4335">
        <w:rPr>
          <w:rFonts w:cs="Arial"/>
          <w:color w:val="auto"/>
        </w:rPr>
        <w:lastRenderedPageBreak/>
        <w:t xml:space="preserve">Green Energy Fund </w:t>
      </w:r>
      <w:r w:rsidRPr="00DC4335">
        <w:rPr>
          <w:rFonts w:cs="Arial"/>
          <w:color w:val="auto"/>
        </w:rPr>
        <w:t xml:space="preserve">Renewable Energy Schemes – County Buildings </w:t>
      </w:r>
      <w:r>
        <w:rPr>
          <w:rFonts w:cs="Arial"/>
          <w:color w:val="auto"/>
        </w:rPr>
        <w:t xml:space="preserve">- </w:t>
      </w:r>
      <w:r w:rsidRPr="00DC4335">
        <w:rPr>
          <w:rFonts w:cs="Arial"/>
          <w:color w:val="auto"/>
        </w:rPr>
        <w:t>£2.7m</w:t>
      </w:r>
      <w:r>
        <w:rPr>
          <w:rFonts w:cs="Arial"/>
          <w:color w:val="auto"/>
        </w:rPr>
        <w:t>.</w:t>
      </w:r>
    </w:p>
    <w:p w:rsidR="00853732" w:rsidRPr="00DC4335" w:rsidRDefault="007D6BEE" w:rsidP="00805FB1">
      <w:pPr>
        <w:pStyle w:val="ListParagraph"/>
        <w:numPr>
          <w:ilvl w:val="1"/>
          <w:numId w:val="26"/>
        </w:numPr>
        <w:spacing w:after="0"/>
        <w:rPr>
          <w:rFonts w:cs="Arial"/>
          <w:color w:val="auto"/>
        </w:rPr>
      </w:pPr>
      <w:r w:rsidRPr="00DC4335">
        <w:rPr>
          <w:rFonts w:cs="Arial"/>
          <w:color w:val="auto"/>
        </w:rPr>
        <w:t xml:space="preserve">Structural maintenance unallocated </w:t>
      </w:r>
      <w:r>
        <w:rPr>
          <w:rFonts w:cs="Arial"/>
          <w:color w:val="auto"/>
        </w:rPr>
        <w:t xml:space="preserve">- </w:t>
      </w:r>
      <w:r w:rsidRPr="00DC4335">
        <w:rPr>
          <w:rFonts w:cs="Arial"/>
          <w:color w:val="auto"/>
        </w:rPr>
        <w:t>£0.067m</w:t>
      </w:r>
      <w:r>
        <w:rPr>
          <w:rFonts w:cs="Arial"/>
          <w:color w:val="auto"/>
        </w:rPr>
        <w:t>.</w:t>
      </w:r>
    </w:p>
    <w:p w:rsidR="00853732" w:rsidRDefault="007D6BEE" w:rsidP="00853732">
      <w:pPr>
        <w:rPr>
          <w:rFonts w:cs="Arial"/>
          <w:b/>
          <w:color w:val="auto"/>
        </w:rPr>
      </w:pPr>
    </w:p>
    <w:p w:rsidR="00853732" w:rsidRPr="00892025" w:rsidRDefault="007D6BEE" w:rsidP="00853732">
      <w:pPr>
        <w:rPr>
          <w:rFonts w:cs="Arial"/>
          <w:b/>
        </w:rPr>
      </w:pPr>
      <w:r>
        <w:rPr>
          <w:rFonts w:cs="Arial"/>
          <w:b/>
        </w:rPr>
        <w:t xml:space="preserve">3.6 </w:t>
      </w:r>
      <w:r w:rsidRPr="00892025">
        <w:rPr>
          <w:rFonts w:cs="Arial"/>
          <w:b/>
        </w:rPr>
        <w:t>Transport</w:t>
      </w:r>
    </w:p>
    <w:p w:rsidR="00853732" w:rsidRDefault="007D6BEE" w:rsidP="00805FB1">
      <w:pPr>
        <w:spacing w:after="0"/>
        <w:rPr>
          <w:rFonts w:cs="Arial"/>
          <w:b/>
        </w:rPr>
      </w:pPr>
      <w:r>
        <w:rPr>
          <w:rFonts w:cs="Arial"/>
          <w:b/>
        </w:rPr>
        <w:t>Spend less than budget</w:t>
      </w:r>
      <w:r w:rsidRPr="00892025">
        <w:rPr>
          <w:rFonts w:cs="Arial"/>
          <w:b/>
        </w:rPr>
        <w:t xml:space="preserve"> of £0.603m is forecast on the current 2017/18 profiled budget. This is explained as follows:</w:t>
      </w:r>
    </w:p>
    <w:p w:rsidR="00805FB1" w:rsidRPr="00892025" w:rsidRDefault="007D6BEE" w:rsidP="00805FB1">
      <w:pPr>
        <w:spacing w:after="0"/>
        <w:rPr>
          <w:rFonts w:cs="Arial"/>
          <w:b/>
        </w:rPr>
      </w:pPr>
    </w:p>
    <w:p w:rsidR="00853732" w:rsidRDefault="007D6BEE" w:rsidP="00805FB1">
      <w:pPr>
        <w:spacing w:after="0"/>
        <w:rPr>
          <w:rFonts w:cs="Arial"/>
        </w:rPr>
      </w:pPr>
      <w:r>
        <w:rPr>
          <w:rFonts w:cs="Arial"/>
        </w:rPr>
        <w:t xml:space="preserve">The variance to profiled </w:t>
      </w:r>
      <w:r>
        <w:rPr>
          <w:rFonts w:cs="Arial"/>
        </w:rPr>
        <w:t>budget relates to slippage from earlier years on existing cycle s</w:t>
      </w:r>
      <w:r>
        <w:rPr>
          <w:rFonts w:cs="Arial"/>
        </w:rPr>
        <w:t>afety and road safety schemes.  New cycle safety and road safety schemes will be profiled in October 2017.</w:t>
      </w:r>
    </w:p>
    <w:p w:rsidR="00D8344E" w:rsidRDefault="007D6BEE" w:rsidP="00805FB1">
      <w:pPr>
        <w:spacing w:after="0"/>
        <w:rPr>
          <w:rFonts w:cs="Arial"/>
        </w:rPr>
      </w:pPr>
    </w:p>
    <w:p w:rsidR="00D8344E" w:rsidRPr="00B96677" w:rsidRDefault="007D6BEE" w:rsidP="00805FB1">
      <w:pPr>
        <w:spacing w:after="0"/>
        <w:rPr>
          <w:rFonts w:cs="Arial"/>
          <w:color w:val="FF0000"/>
        </w:rPr>
      </w:pPr>
      <w:r>
        <w:rPr>
          <w:rFonts w:cs="Arial"/>
        </w:rPr>
        <w:t>The rest of the programme is forecast to be on programme delivery.</w:t>
      </w:r>
    </w:p>
    <w:p w:rsidR="00853732" w:rsidRPr="00892025" w:rsidRDefault="007D6BEE" w:rsidP="00805FB1">
      <w:pPr>
        <w:spacing w:after="0"/>
        <w:rPr>
          <w:rFonts w:cs="Arial"/>
        </w:rPr>
      </w:pPr>
    </w:p>
    <w:p w:rsidR="00853732" w:rsidRDefault="007D6BEE" w:rsidP="00805FB1">
      <w:pPr>
        <w:spacing w:after="0"/>
        <w:rPr>
          <w:rFonts w:cs="Arial"/>
          <w:i/>
        </w:rPr>
      </w:pPr>
      <w:r>
        <w:rPr>
          <w:rFonts w:cs="Arial"/>
          <w:i/>
        </w:rPr>
        <w:t>Other notes/com</w:t>
      </w:r>
      <w:r>
        <w:rPr>
          <w:rFonts w:cs="Arial"/>
          <w:i/>
        </w:rPr>
        <w:t>ments:</w:t>
      </w:r>
    </w:p>
    <w:p w:rsidR="00805FB1" w:rsidRPr="00892025" w:rsidRDefault="007D6BEE" w:rsidP="00805FB1">
      <w:pPr>
        <w:spacing w:after="0"/>
        <w:rPr>
          <w:rFonts w:cs="Arial"/>
          <w:i/>
        </w:rPr>
      </w:pPr>
    </w:p>
    <w:p w:rsidR="00853732" w:rsidRDefault="007D6BEE" w:rsidP="00805FB1">
      <w:pPr>
        <w:pStyle w:val="ListParagraph"/>
        <w:numPr>
          <w:ilvl w:val="0"/>
          <w:numId w:val="28"/>
        </w:numPr>
        <w:spacing w:after="0"/>
        <w:rPr>
          <w:rFonts w:cs="Arial"/>
        </w:rPr>
      </w:pPr>
      <w:r w:rsidRPr="00DC4335">
        <w:rPr>
          <w:rFonts w:cs="Arial"/>
        </w:rPr>
        <w:t>2017/18</w:t>
      </w:r>
      <w:r>
        <w:rPr>
          <w:rFonts w:cs="Arial"/>
        </w:rPr>
        <w:t xml:space="preserve"> Bus S</w:t>
      </w:r>
      <w:r w:rsidRPr="00DC4335">
        <w:rPr>
          <w:rFonts w:cs="Arial"/>
        </w:rPr>
        <w:t xml:space="preserve">top Compliance - £0.020m remains to be programmed. Forecast to finish 2015/16 and 2016/17 projects by the end of July </w:t>
      </w:r>
      <w:r>
        <w:rPr>
          <w:rFonts w:cs="Arial"/>
        </w:rPr>
        <w:t xml:space="preserve">2017 then commencement of the </w:t>
      </w:r>
      <w:r w:rsidRPr="00DC4335">
        <w:rPr>
          <w:rFonts w:cs="Arial"/>
        </w:rPr>
        <w:t>2017/18</w:t>
      </w:r>
      <w:r>
        <w:rPr>
          <w:rFonts w:cs="Arial"/>
        </w:rPr>
        <w:t xml:space="preserve"> programme. There is a risk</w:t>
      </w:r>
      <w:r w:rsidRPr="00DC4335">
        <w:rPr>
          <w:rFonts w:cs="Arial"/>
        </w:rPr>
        <w:t xml:space="preserve"> of slippage on 2017/18 projects</w:t>
      </w:r>
      <w:r>
        <w:rPr>
          <w:rFonts w:cs="Arial"/>
        </w:rPr>
        <w:t xml:space="preserve">. </w:t>
      </w:r>
    </w:p>
    <w:p w:rsidR="00853732" w:rsidRPr="00DC4335" w:rsidRDefault="007D6BEE" w:rsidP="00805FB1">
      <w:pPr>
        <w:pStyle w:val="ListParagraph"/>
        <w:spacing w:after="0"/>
        <w:rPr>
          <w:rFonts w:cs="Arial"/>
        </w:rPr>
      </w:pPr>
    </w:p>
    <w:p w:rsidR="00853732" w:rsidRDefault="007D6BEE" w:rsidP="00805FB1">
      <w:pPr>
        <w:pStyle w:val="ListParagraph"/>
        <w:numPr>
          <w:ilvl w:val="0"/>
          <w:numId w:val="27"/>
        </w:numPr>
        <w:spacing w:after="0"/>
        <w:rPr>
          <w:rFonts w:cs="Arial"/>
        </w:rPr>
      </w:pPr>
      <w:r w:rsidRPr="008A524E">
        <w:rPr>
          <w:rFonts w:cs="Arial"/>
        </w:rPr>
        <w:t xml:space="preserve">2017/18 Public </w:t>
      </w:r>
      <w:r w:rsidRPr="008A524E">
        <w:rPr>
          <w:rFonts w:cs="Arial"/>
        </w:rPr>
        <w:t>Rights of Way - £0.250m budget programmed out into projects, with a number with no spend to date.  Assurance has been sought and provided by project managers that the programme will be spend as per approved delivery programme</w:t>
      </w:r>
      <w:r>
        <w:rPr>
          <w:rFonts w:cs="Arial"/>
        </w:rPr>
        <w:t xml:space="preserve">. </w:t>
      </w:r>
    </w:p>
    <w:p w:rsidR="00853732" w:rsidRDefault="007D6BEE" w:rsidP="00853732">
      <w:pPr>
        <w:pStyle w:val="ListParagraph"/>
        <w:rPr>
          <w:rFonts w:cs="Arial"/>
        </w:rPr>
      </w:pPr>
    </w:p>
    <w:p w:rsidR="00853732" w:rsidRDefault="007D6BEE" w:rsidP="00805FB1">
      <w:pPr>
        <w:pStyle w:val="ListParagraph"/>
        <w:numPr>
          <w:ilvl w:val="0"/>
          <w:numId w:val="27"/>
        </w:numPr>
        <w:spacing w:after="0"/>
        <w:rPr>
          <w:rFonts w:cs="Arial"/>
        </w:rPr>
      </w:pPr>
      <w:r>
        <w:rPr>
          <w:rFonts w:cs="Arial"/>
        </w:rPr>
        <w:t>Heysham - c</w:t>
      </w:r>
      <w:r w:rsidRPr="008A524E">
        <w:rPr>
          <w:rFonts w:cs="Arial"/>
        </w:rPr>
        <w:t>ompletion certif</w:t>
      </w:r>
      <w:r w:rsidRPr="008A524E">
        <w:rPr>
          <w:rFonts w:cs="Arial"/>
        </w:rPr>
        <w:t>icate issued on</w:t>
      </w:r>
      <w:r>
        <w:rPr>
          <w:rFonts w:cs="Arial"/>
        </w:rPr>
        <w:t xml:space="preserve"> the 31st May 2017 which represents</w:t>
      </w:r>
      <w:r w:rsidRPr="008A524E">
        <w:rPr>
          <w:rFonts w:cs="Arial"/>
        </w:rPr>
        <w:t xml:space="preserve"> the start of the 12 month defect period. Work is still being undertaken on minor defects including landscaping along with compensation quotes being prepared. Some lighting and traffic regulation works are </w:t>
      </w:r>
      <w:r w:rsidRPr="008A524E">
        <w:rPr>
          <w:rFonts w:cs="Arial"/>
        </w:rPr>
        <w:t>almost complete. The project manager is awaiting the draft stage 3 Safety Audit. On target to fully spend all of 2017/18</w:t>
      </w:r>
      <w:r>
        <w:rPr>
          <w:rFonts w:cs="Arial"/>
        </w:rPr>
        <w:t xml:space="preserve"> budget.</w:t>
      </w:r>
    </w:p>
    <w:p w:rsidR="00853732" w:rsidRPr="008A524E" w:rsidRDefault="007D6BEE" w:rsidP="00805FB1">
      <w:pPr>
        <w:spacing w:after="0"/>
        <w:rPr>
          <w:rFonts w:cs="Arial"/>
        </w:rPr>
      </w:pPr>
    </w:p>
    <w:p w:rsidR="00853732" w:rsidRDefault="007D6BEE" w:rsidP="00805FB1">
      <w:pPr>
        <w:pStyle w:val="ListParagraph"/>
        <w:numPr>
          <w:ilvl w:val="0"/>
          <w:numId w:val="27"/>
        </w:numPr>
        <w:spacing w:after="0"/>
        <w:rPr>
          <w:rFonts w:cs="Arial"/>
        </w:rPr>
      </w:pPr>
      <w:r w:rsidRPr="00DC4335">
        <w:rPr>
          <w:rFonts w:cs="Arial"/>
        </w:rPr>
        <w:t>City Deal - £2.500m contribution to City Deal is fully committed and will be t</w:t>
      </w:r>
      <w:r>
        <w:rPr>
          <w:rFonts w:cs="Arial"/>
        </w:rPr>
        <w:t xml:space="preserve">ransferred in the final quarter. </w:t>
      </w:r>
    </w:p>
    <w:p w:rsidR="00853732" w:rsidRPr="008A524E" w:rsidRDefault="007D6BEE" w:rsidP="00805FB1">
      <w:pPr>
        <w:spacing w:after="0"/>
        <w:rPr>
          <w:rFonts w:cs="Arial"/>
        </w:rPr>
      </w:pPr>
    </w:p>
    <w:p w:rsidR="00853732" w:rsidRDefault="007D6BEE" w:rsidP="00805FB1">
      <w:pPr>
        <w:pStyle w:val="ListParagraph"/>
        <w:numPr>
          <w:ilvl w:val="0"/>
          <w:numId w:val="27"/>
        </w:numPr>
        <w:spacing w:after="0"/>
        <w:rPr>
          <w:rFonts w:cs="Arial"/>
        </w:rPr>
      </w:pPr>
      <w:r w:rsidRPr="00DC4335">
        <w:rPr>
          <w:rFonts w:cs="Arial"/>
        </w:rPr>
        <w:t>Pennine Reach</w:t>
      </w:r>
      <w:r w:rsidRPr="00DC4335">
        <w:rPr>
          <w:rFonts w:cs="Arial"/>
        </w:rPr>
        <w:t xml:space="preserve"> - The programme of work has </w:t>
      </w:r>
      <w:r>
        <w:rPr>
          <w:rFonts w:cs="Arial"/>
        </w:rPr>
        <w:t>encountered</w:t>
      </w:r>
      <w:r>
        <w:rPr>
          <w:rFonts w:cs="Arial"/>
        </w:rPr>
        <w:t xml:space="preserve"> </w:t>
      </w:r>
      <w:r>
        <w:rPr>
          <w:rFonts w:cs="Arial"/>
        </w:rPr>
        <w:t>some</w:t>
      </w:r>
      <w:r w:rsidRPr="00DC4335">
        <w:rPr>
          <w:rFonts w:cs="Arial"/>
        </w:rPr>
        <w:t xml:space="preserve"> land acquisition </w:t>
      </w:r>
      <w:r>
        <w:rPr>
          <w:rFonts w:cs="Arial"/>
        </w:rPr>
        <w:t xml:space="preserve">issues </w:t>
      </w:r>
      <w:r w:rsidRPr="00DC4335">
        <w:rPr>
          <w:rFonts w:cs="Arial"/>
        </w:rPr>
        <w:t xml:space="preserve">at Frank Street. </w:t>
      </w:r>
      <w:r>
        <w:rPr>
          <w:rFonts w:cs="Arial"/>
        </w:rPr>
        <w:t>In addition, as a result of</w:t>
      </w:r>
      <w:r w:rsidRPr="00DC4335">
        <w:rPr>
          <w:rFonts w:cs="Arial"/>
        </w:rPr>
        <w:t xml:space="preserve"> some issues aroun</w:t>
      </w:r>
      <w:r>
        <w:rPr>
          <w:rFonts w:cs="Arial"/>
        </w:rPr>
        <w:t>d land tribunals at Accrington Bus S</w:t>
      </w:r>
      <w:r w:rsidRPr="00DC4335">
        <w:rPr>
          <w:rFonts w:cs="Arial"/>
        </w:rPr>
        <w:t>tation costs have come in over budget</w:t>
      </w:r>
      <w:r>
        <w:rPr>
          <w:rFonts w:cs="Arial"/>
        </w:rPr>
        <w:t xml:space="preserve"> (£0.357</w:t>
      </w:r>
      <w:r>
        <w:rPr>
          <w:rFonts w:cs="Arial"/>
        </w:rPr>
        <w:t>m</w:t>
      </w:r>
      <w:r>
        <w:rPr>
          <w:rFonts w:cs="Arial"/>
        </w:rPr>
        <w:t xml:space="preserve"> e</w:t>
      </w:r>
      <w:r>
        <w:rPr>
          <w:rFonts w:cs="Arial"/>
        </w:rPr>
        <w:t>x</w:t>
      </w:r>
      <w:r>
        <w:rPr>
          <w:rFonts w:cs="Arial"/>
        </w:rPr>
        <w:t>cluding court fees</w:t>
      </w:r>
      <w:r>
        <w:rPr>
          <w:rFonts w:cs="Arial"/>
        </w:rPr>
        <w:t>)</w:t>
      </w:r>
      <w:r w:rsidRPr="00DC4335">
        <w:rPr>
          <w:rFonts w:cs="Arial"/>
        </w:rPr>
        <w:t xml:space="preserve">. The project has </w:t>
      </w:r>
      <w:r w:rsidRPr="00DC4335">
        <w:rPr>
          <w:rFonts w:cs="Arial"/>
        </w:rPr>
        <w:t>been included in the 2017/18 forecast but is at risk of slipping into 2018/19</w:t>
      </w:r>
      <w:r>
        <w:rPr>
          <w:rFonts w:cs="Arial"/>
        </w:rPr>
        <w:t>.</w:t>
      </w:r>
    </w:p>
    <w:p w:rsidR="00853732" w:rsidRPr="008A524E" w:rsidRDefault="007D6BEE" w:rsidP="00805FB1">
      <w:pPr>
        <w:spacing w:after="0"/>
        <w:rPr>
          <w:rFonts w:cs="Arial"/>
        </w:rPr>
      </w:pPr>
    </w:p>
    <w:p w:rsidR="00853732" w:rsidRPr="00DC4335" w:rsidRDefault="007D6BEE" w:rsidP="00805FB1">
      <w:pPr>
        <w:pStyle w:val="ListParagraph"/>
        <w:numPr>
          <w:ilvl w:val="0"/>
          <w:numId w:val="27"/>
        </w:numPr>
        <w:spacing w:after="0"/>
        <w:rPr>
          <w:rFonts w:cs="Arial"/>
        </w:rPr>
      </w:pPr>
      <w:r w:rsidRPr="00DC4335">
        <w:rPr>
          <w:rFonts w:cs="Arial"/>
        </w:rPr>
        <w:t xml:space="preserve">Skelmersdale Rail Link - £3.380m has been approved for 2017/18 the rail link in West Lancashire, It is estimated that the full budget will be spent within the financial year.  </w:t>
      </w:r>
      <w:r w:rsidRPr="00DC4335">
        <w:rPr>
          <w:rFonts w:cs="Arial"/>
        </w:rPr>
        <w:t>This will be reviewed in quarter 2.</w:t>
      </w:r>
    </w:p>
    <w:p w:rsidR="00853732" w:rsidRDefault="007D6BEE" w:rsidP="00805FB1">
      <w:pPr>
        <w:spacing w:after="0"/>
        <w:rPr>
          <w:rFonts w:cs="Arial"/>
          <w:b/>
        </w:rPr>
      </w:pPr>
    </w:p>
    <w:p w:rsidR="00416C1D" w:rsidRDefault="007D6BEE" w:rsidP="00805FB1">
      <w:pPr>
        <w:spacing w:after="0"/>
        <w:rPr>
          <w:rFonts w:cs="Arial"/>
          <w:b/>
        </w:rPr>
      </w:pPr>
    </w:p>
    <w:p w:rsidR="00416C1D" w:rsidRDefault="007D6BEE" w:rsidP="00805FB1">
      <w:pPr>
        <w:spacing w:after="0"/>
        <w:rPr>
          <w:rFonts w:cs="Arial"/>
          <w:b/>
        </w:rPr>
      </w:pPr>
    </w:p>
    <w:p w:rsidR="00416C1D" w:rsidRPr="00892025" w:rsidRDefault="007D6BEE" w:rsidP="00805FB1">
      <w:pPr>
        <w:spacing w:after="0"/>
        <w:rPr>
          <w:rFonts w:cs="Arial"/>
          <w:b/>
        </w:rPr>
      </w:pPr>
    </w:p>
    <w:p w:rsidR="00853732" w:rsidRDefault="007D6BEE" w:rsidP="00805FB1">
      <w:pPr>
        <w:spacing w:after="0"/>
        <w:rPr>
          <w:rFonts w:cs="Arial"/>
          <w:b/>
        </w:rPr>
      </w:pPr>
      <w:r>
        <w:rPr>
          <w:rFonts w:cs="Arial"/>
          <w:b/>
        </w:rPr>
        <w:lastRenderedPageBreak/>
        <w:t xml:space="preserve">3.7 </w:t>
      </w:r>
      <w:r w:rsidRPr="00892025">
        <w:rPr>
          <w:rFonts w:cs="Arial"/>
          <w:b/>
        </w:rPr>
        <w:t>Adults</w:t>
      </w:r>
      <w:r>
        <w:rPr>
          <w:rFonts w:cs="Arial"/>
          <w:b/>
        </w:rPr>
        <w:t xml:space="preserve"> and Community</w:t>
      </w:r>
    </w:p>
    <w:p w:rsidR="00853732" w:rsidRPr="00892025" w:rsidRDefault="007D6BEE" w:rsidP="00805FB1">
      <w:pPr>
        <w:spacing w:after="0"/>
        <w:rPr>
          <w:rFonts w:cs="Arial"/>
          <w:b/>
        </w:rPr>
      </w:pPr>
    </w:p>
    <w:p w:rsidR="00853732" w:rsidRDefault="007D6BEE" w:rsidP="00805FB1">
      <w:pPr>
        <w:spacing w:after="0"/>
        <w:rPr>
          <w:rFonts w:cs="Arial"/>
          <w:b/>
        </w:rPr>
      </w:pPr>
      <w:r>
        <w:rPr>
          <w:rFonts w:cs="Arial"/>
          <w:b/>
        </w:rPr>
        <w:t xml:space="preserve">Spend less than budget </w:t>
      </w:r>
      <w:r w:rsidRPr="00892025">
        <w:rPr>
          <w:rFonts w:cs="Arial"/>
          <w:b/>
        </w:rPr>
        <w:t xml:space="preserve">of £0.931m is forecast on the current </w:t>
      </w:r>
      <w:r>
        <w:rPr>
          <w:rFonts w:cs="Arial"/>
          <w:b/>
        </w:rPr>
        <w:t>2017/</w:t>
      </w:r>
      <w:r w:rsidRPr="00892025">
        <w:rPr>
          <w:rFonts w:cs="Arial"/>
          <w:b/>
        </w:rPr>
        <w:t>18 profiled budget. This is explained as follows:</w:t>
      </w:r>
    </w:p>
    <w:p w:rsidR="00805FB1" w:rsidRPr="00892025" w:rsidRDefault="007D6BEE" w:rsidP="00805FB1">
      <w:pPr>
        <w:spacing w:after="0"/>
        <w:rPr>
          <w:rFonts w:cs="Arial"/>
          <w:b/>
        </w:rPr>
      </w:pPr>
    </w:p>
    <w:p w:rsidR="00853732" w:rsidRDefault="007D6BEE" w:rsidP="00805FB1">
      <w:pPr>
        <w:spacing w:after="0"/>
        <w:rPr>
          <w:rFonts w:cs="Arial"/>
        </w:rPr>
      </w:pPr>
      <w:r>
        <w:rPr>
          <w:rFonts w:cs="Arial"/>
        </w:rPr>
        <w:t>A variance</w:t>
      </w:r>
      <w:r w:rsidRPr="00892025">
        <w:rPr>
          <w:rFonts w:cs="Arial"/>
        </w:rPr>
        <w:t xml:space="preserve"> of £0.931m has </w:t>
      </w:r>
      <w:r>
        <w:rPr>
          <w:rFonts w:cs="Arial"/>
        </w:rPr>
        <w:t xml:space="preserve">currently </w:t>
      </w:r>
      <w:r w:rsidRPr="00892025">
        <w:rPr>
          <w:rFonts w:cs="Arial"/>
        </w:rPr>
        <w:t>been forecast against the un</w:t>
      </w:r>
      <w:r>
        <w:rPr>
          <w:rFonts w:cs="Arial"/>
        </w:rPr>
        <w:t>-</w:t>
      </w:r>
      <w:r w:rsidRPr="00892025">
        <w:rPr>
          <w:rFonts w:cs="Arial"/>
        </w:rPr>
        <w:t>programm</w:t>
      </w:r>
      <w:r w:rsidRPr="00892025">
        <w:rPr>
          <w:rFonts w:cs="Arial"/>
        </w:rPr>
        <w:t>ed budget amounts which relate to libraries and the new additions from Cabinet.</w:t>
      </w:r>
      <w:r>
        <w:rPr>
          <w:rFonts w:cs="Arial"/>
        </w:rPr>
        <w:t xml:space="preserve">  Work is currently underway to load new projects within PPMS along with expenditure profiling.  This will </w:t>
      </w:r>
      <w:r>
        <w:rPr>
          <w:rFonts w:cs="Arial"/>
        </w:rPr>
        <w:t>be further outlined within the Q</w:t>
      </w:r>
      <w:r>
        <w:rPr>
          <w:rFonts w:cs="Arial"/>
        </w:rPr>
        <w:t>uarter 2 report.</w:t>
      </w:r>
    </w:p>
    <w:p w:rsidR="00853732" w:rsidRDefault="007D6BEE" w:rsidP="00805FB1">
      <w:pPr>
        <w:spacing w:after="0"/>
        <w:rPr>
          <w:rFonts w:cs="Arial"/>
        </w:rPr>
      </w:pPr>
    </w:p>
    <w:p w:rsidR="00853732" w:rsidRDefault="007D6BEE" w:rsidP="00805FB1">
      <w:pPr>
        <w:spacing w:after="0"/>
        <w:rPr>
          <w:rFonts w:cs="Arial"/>
        </w:rPr>
      </w:pPr>
      <w:r>
        <w:rPr>
          <w:rFonts w:cs="Arial"/>
        </w:rPr>
        <w:t>Work is also current</w:t>
      </w:r>
      <w:r>
        <w:rPr>
          <w:rFonts w:cs="Arial"/>
        </w:rPr>
        <w:t>ly underway to finalise actions to the authority's old peoples' homes for fire safety and general up-grades which will make the facilities fit for purpose moving forward.</w:t>
      </w:r>
    </w:p>
    <w:p w:rsidR="00805FB1" w:rsidRDefault="007D6BEE" w:rsidP="00853732">
      <w:pPr>
        <w:rPr>
          <w:rFonts w:cs="Arial"/>
          <w:b/>
        </w:rPr>
      </w:pPr>
    </w:p>
    <w:p w:rsidR="00853732" w:rsidRDefault="007D6BEE" w:rsidP="00805FB1">
      <w:pPr>
        <w:spacing w:after="0"/>
        <w:rPr>
          <w:rFonts w:cs="Arial"/>
          <w:b/>
        </w:rPr>
      </w:pPr>
      <w:r>
        <w:rPr>
          <w:rFonts w:cs="Arial"/>
          <w:b/>
        </w:rPr>
        <w:t xml:space="preserve">3.8 </w:t>
      </w:r>
      <w:r w:rsidRPr="00892025">
        <w:rPr>
          <w:rFonts w:cs="Arial"/>
          <w:b/>
        </w:rPr>
        <w:t>Waste</w:t>
      </w:r>
    </w:p>
    <w:p w:rsidR="00805FB1" w:rsidRPr="00892025" w:rsidRDefault="007D6BEE" w:rsidP="00805FB1">
      <w:pPr>
        <w:spacing w:after="0"/>
        <w:rPr>
          <w:rFonts w:cs="Arial"/>
          <w:b/>
        </w:rPr>
      </w:pPr>
    </w:p>
    <w:p w:rsidR="00853732" w:rsidRDefault="007D6BEE" w:rsidP="00805FB1">
      <w:pPr>
        <w:spacing w:after="0"/>
        <w:rPr>
          <w:rFonts w:cs="Arial"/>
          <w:b/>
        </w:rPr>
      </w:pPr>
      <w:r>
        <w:rPr>
          <w:rFonts w:cs="Arial"/>
          <w:b/>
        </w:rPr>
        <w:t xml:space="preserve">Spend less than budget of </w:t>
      </w:r>
      <w:r w:rsidRPr="00892025">
        <w:rPr>
          <w:rFonts w:cs="Arial"/>
          <w:b/>
        </w:rPr>
        <w:t xml:space="preserve">£0.069m is forecast on the current 2017/18 </w:t>
      </w:r>
      <w:r w:rsidRPr="00892025">
        <w:rPr>
          <w:rFonts w:cs="Arial"/>
          <w:b/>
        </w:rPr>
        <w:t>profiled budget. This is explained as follows:</w:t>
      </w:r>
    </w:p>
    <w:p w:rsidR="00805FB1" w:rsidRPr="00892025" w:rsidRDefault="007D6BEE" w:rsidP="00805FB1">
      <w:pPr>
        <w:spacing w:after="0"/>
        <w:rPr>
          <w:rFonts w:cs="Arial"/>
          <w:b/>
        </w:rPr>
      </w:pPr>
    </w:p>
    <w:p w:rsidR="00853732" w:rsidRPr="008A524E" w:rsidRDefault="007D6BEE" w:rsidP="00853732">
      <w:pPr>
        <w:rPr>
          <w:rFonts w:cs="Arial"/>
          <w:color w:val="A6A6A6" w:themeColor="background1" w:themeShade="A6"/>
        </w:rPr>
      </w:pPr>
      <w:r w:rsidRPr="00892025">
        <w:rPr>
          <w:rFonts w:cs="Arial"/>
        </w:rPr>
        <w:t xml:space="preserve">A </w:t>
      </w:r>
      <w:r>
        <w:rPr>
          <w:rFonts w:cs="Arial"/>
          <w:color w:val="auto"/>
        </w:rPr>
        <w:t>£0.069m variance</w:t>
      </w:r>
      <w:r>
        <w:rPr>
          <w:rFonts w:cs="Arial"/>
          <w:color w:val="auto"/>
        </w:rPr>
        <w:t xml:space="preserve"> is forecast</w:t>
      </w:r>
      <w:r w:rsidRPr="00892025">
        <w:rPr>
          <w:rFonts w:cs="Arial"/>
          <w:color w:val="auto"/>
        </w:rPr>
        <w:t xml:space="preserve"> due to slippage </w:t>
      </w:r>
      <w:r>
        <w:rPr>
          <w:rFonts w:cs="Arial"/>
          <w:color w:val="auto"/>
        </w:rPr>
        <w:t>relating to the</w:t>
      </w:r>
      <w:r w:rsidRPr="00892025">
        <w:rPr>
          <w:rFonts w:cs="Arial"/>
          <w:color w:val="auto"/>
        </w:rPr>
        <w:t xml:space="preserve"> Fire Suppression Systems at Thornton and Farrington</w:t>
      </w:r>
      <w:r>
        <w:rPr>
          <w:rFonts w:cs="Arial"/>
          <w:color w:val="auto"/>
        </w:rPr>
        <w:t xml:space="preserve">.  </w:t>
      </w:r>
      <w:r>
        <w:rPr>
          <w:rFonts w:cs="Arial"/>
          <w:color w:val="auto"/>
        </w:rPr>
        <w:t xml:space="preserve">Currently the project is on hold pending the implementation of a risk mitigation strategy. </w:t>
      </w:r>
      <w:r>
        <w:rPr>
          <w:rFonts w:cs="Arial"/>
          <w:color w:val="auto"/>
        </w:rPr>
        <w:t xml:space="preserve"> </w:t>
      </w:r>
      <w:r w:rsidRPr="00892025">
        <w:rPr>
          <w:rFonts w:cs="Arial"/>
        </w:rPr>
        <w:t>Spend in Q</w:t>
      </w:r>
      <w:r>
        <w:rPr>
          <w:rFonts w:cs="Arial"/>
        </w:rPr>
        <w:t xml:space="preserve">uarter </w:t>
      </w:r>
      <w:r w:rsidRPr="00892025">
        <w:rPr>
          <w:rFonts w:cs="Arial"/>
        </w:rPr>
        <w:t>1 relates to the Asset Preservation project which is now fully spent.</w:t>
      </w:r>
    </w:p>
    <w:p w:rsidR="00506C3A" w:rsidRPr="00882976" w:rsidRDefault="007D6BEE" w:rsidP="00194D1E">
      <w:pPr>
        <w:tabs>
          <w:tab w:val="left" w:pos="567"/>
          <w:tab w:val="left" w:pos="1134"/>
        </w:tabs>
        <w:spacing w:after="0"/>
        <w:rPr>
          <w:rFonts w:cs="Arial"/>
        </w:rPr>
      </w:pPr>
    </w:p>
    <w:sectPr w:rsidR="00506C3A" w:rsidRPr="00882976" w:rsidSect="00AE2123">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D6BEE">
      <w:pPr>
        <w:spacing w:after="0"/>
      </w:pPr>
      <w:r>
        <w:separator/>
      </w:r>
    </w:p>
  </w:endnote>
  <w:endnote w:type="continuationSeparator" w:id="0">
    <w:p w:rsidR="00000000" w:rsidRDefault="007D6B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DAF" w:rsidRDefault="007D6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29511"/>
      <w:docPartObj>
        <w:docPartGallery w:val="Page Numbers (Bottom of Page)"/>
        <w:docPartUnique/>
      </w:docPartObj>
    </w:sdtPr>
    <w:sdtEndPr>
      <w:rPr>
        <w:noProof/>
      </w:rPr>
    </w:sdtEndPr>
    <w:sdtContent>
      <w:p w:rsidR="00684756" w:rsidRDefault="007D6BEE" w:rsidP="00FC5417">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684756" w:rsidRDefault="007D6B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DAF" w:rsidRDefault="007D6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D6BEE">
      <w:pPr>
        <w:spacing w:after="0"/>
      </w:pPr>
      <w:r>
        <w:separator/>
      </w:r>
    </w:p>
  </w:footnote>
  <w:footnote w:type="continuationSeparator" w:id="0">
    <w:p w:rsidR="00000000" w:rsidRDefault="007D6B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DAF" w:rsidRDefault="007D6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756" w:rsidRDefault="007D6BEE">
    <w:pPr>
      <w:pStyle w:val="Header"/>
    </w:pPr>
    <w:sdt>
      <w:sdtPr>
        <w:id w:val="-20630899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p w:rsidR="00684756" w:rsidRDefault="007D6B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756" w:rsidRDefault="007D6BEE" w:rsidP="00846AEA">
    <w:pPr>
      <w:pStyle w:val="Header"/>
    </w:pPr>
    <w:r>
      <w:rPr>
        <w:noProof/>
        <w:lang w:eastAsia="en-GB"/>
      </w:rPr>
      <w:drawing>
        <wp:anchor distT="0" distB="0" distL="114300" distR="114300" simplePos="0" relativeHeight="251658240" behindDoc="1" locked="0" layoutInCell="1" allowOverlap="1">
          <wp:simplePos x="0" y="0"/>
          <wp:positionH relativeFrom="column">
            <wp:posOffset>-895985</wp:posOffset>
          </wp:positionH>
          <wp:positionV relativeFrom="paragraph">
            <wp:posOffset>-479425</wp:posOffset>
          </wp:positionV>
          <wp:extent cx="7568565" cy="10720070"/>
          <wp:effectExtent l="0" t="0" r="0" b="5080"/>
          <wp:wrapNone/>
          <wp:docPr id="4"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tretch>
                    <a:fillRect/>
                  </a:stretch>
                </pic:blipFill>
                <pic:spPr bwMode="auto">
                  <a:xfrm>
                    <a:off x="0" y="0"/>
                    <a:ext cx="7568565" cy="10720070"/>
                  </a:xfrm>
                  <a:prstGeom prst="rect">
                    <a:avLst/>
                  </a:prstGeom>
                  <a:noFill/>
                  <a:ln w="9525">
                    <a:noFill/>
                    <a:miter lim="800000"/>
                    <a:headEnd/>
                    <a:tailEnd/>
                  </a:ln>
                </pic:spPr>
              </pic:pic>
            </a:graphicData>
          </a:graphic>
        </wp:anchor>
      </w:drawing>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13614E4"/>
    <w:multiLevelType w:val="hybridMultilevel"/>
    <w:tmpl w:val="55EE1574"/>
    <w:lvl w:ilvl="0" w:tplc="67324706">
      <w:start w:val="1"/>
      <w:numFmt w:val="bullet"/>
      <w:lvlText w:val="o"/>
      <w:lvlJc w:val="left"/>
      <w:pPr>
        <w:ind w:left="1440" w:hanging="360"/>
      </w:pPr>
      <w:rPr>
        <w:rFonts w:ascii="Courier New" w:hAnsi="Courier New" w:cs="Courier New" w:hint="default"/>
      </w:rPr>
    </w:lvl>
    <w:lvl w:ilvl="1" w:tplc="3EBC1C98" w:tentative="1">
      <w:start w:val="1"/>
      <w:numFmt w:val="bullet"/>
      <w:lvlText w:val="o"/>
      <w:lvlJc w:val="left"/>
      <w:pPr>
        <w:ind w:left="2160" w:hanging="360"/>
      </w:pPr>
      <w:rPr>
        <w:rFonts w:ascii="Courier New" w:hAnsi="Courier New" w:cs="Courier New" w:hint="default"/>
      </w:rPr>
    </w:lvl>
    <w:lvl w:ilvl="2" w:tplc="47C840F0" w:tentative="1">
      <w:start w:val="1"/>
      <w:numFmt w:val="bullet"/>
      <w:lvlText w:val=""/>
      <w:lvlJc w:val="left"/>
      <w:pPr>
        <w:ind w:left="2880" w:hanging="360"/>
      </w:pPr>
      <w:rPr>
        <w:rFonts w:ascii="Wingdings" w:hAnsi="Wingdings" w:hint="default"/>
      </w:rPr>
    </w:lvl>
    <w:lvl w:ilvl="3" w:tplc="AEF2E70E" w:tentative="1">
      <w:start w:val="1"/>
      <w:numFmt w:val="bullet"/>
      <w:lvlText w:val=""/>
      <w:lvlJc w:val="left"/>
      <w:pPr>
        <w:ind w:left="3600" w:hanging="360"/>
      </w:pPr>
      <w:rPr>
        <w:rFonts w:ascii="Symbol" w:hAnsi="Symbol" w:hint="default"/>
      </w:rPr>
    </w:lvl>
    <w:lvl w:ilvl="4" w:tplc="A2844B6C" w:tentative="1">
      <w:start w:val="1"/>
      <w:numFmt w:val="bullet"/>
      <w:lvlText w:val="o"/>
      <w:lvlJc w:val="left"/>
      <w:pPr>
        <w:ind w:left="4320" w:hanging="360"/>
      </w:pPr>
      <w:rPr>
        <w:rFonts w:ascii="Courier New" w:hAnsi="Courier New" w:cs="Courier New" w:hint="default"/>
      </w:rPr>
    </w:lvl>
    <w:lvl w:ilvl="5" w:tplc="F6E8CA1C" w:tentative="1">
      <w:start w:val="1"/>
      <w:numFmt w:val="bullet"/>
      <w:lvlText w:val=""/>
      <w:lvlJc w:val="left"/>
      <w:pPr>
        <w:ind w:left="5040" w:hanging="360"/>
      </w:pPr>
      <w:rPr>
        <w:rFonts w:ascii="Wingdings" w:hAnsi="Wingdings" w:hint="default"/>
      </w:rPr>
    </w:lvl>
    <w:lvl w:ilvl="6" w:tplc="21589060" w:tentative="1">
      <w:start w:val="1"/>
      <w:numFmt w:val="bullet"/>
      <w:lvlText w:val=""/>
      <w:lvlJc w:val="left"/>
      <w:pPr>
        <w:ind w:left="5760" w:hanging="360"/>
      </w:pPr>
      <w:rPr>
        <w:rFonts w:ascii="Symbol" w:hAnsi="Symbol" w:hint="default"/>
      </w:rPr>
    </w:lvl>
    <w:lvl w:ilvl="7" w:tplc="3F5895A2" w:tentative="1">
      <w:start w:val="1"/>
      <w:numFmt w:val="bullet"/>
      <w:lvlText w:val="o"/>
      <w:lvlJc w:val="left"/>
      <w:pPr>
        <w:ind w:left="6480" w:hanging="360"/>
      </w:pPr>
      <w:rPr>
        <w:rFonts w:ascii="Courier New" w:hAnsi="Courier New" w:cs="Courier New" w:hint="default"/>
      </w:rPr>
    </w:lvl>
    <w:lvl w:ilvl="8" w:tplc="11F8A9E0" w:tentative="1">
      <w:start w:val="1"/>
      <w:numFmt w:val="bullet"/>
      <w:lvlText w:val=""/>
      <w:lvlJc w:val="left"/>
      <w:pPr>
        <w:ind w:left="7200" w:hanging="360"/>
      </w:pPr>
      <w:rPr>
        <w:rFonts w:ascii="Wingdings" w:hAnsi="Wingdings" w:hint="default"/>
      </w:rPr>
    </w:lvl>
  </w:abstractNum>
  <w:abstractNum w:abstractNumId="21" w15:restartNumberingAfterBreak="0">
    <w:nsid w:val="031622F3"/>
    <w:multiLevelType w:val="hybridMultilevel"/>
    <w:tmpl w:val="2C4A624C"/>
    <w:lvl w:ilvl="0" w:tplc="0BB09E8E">
      <w:start w:val="1"/>
      <w:numFmt w:val="bullet"/>
      <w:lvlText w:val=""/>
      <w:lvlJc w:val="left"/>
      <w:pPr>
        <w:ind w:left="720" w:hanging="360"/>
      </w:pPr>
      <w:rPr>
        <w:rFonts w:ascii="Symbol" w:hAnsi="Symbol" w:hint="default"/>
      </w:rPr>
    </w:lvl>
    <w:lvl w:ilvl="1" w:tplc="4D6C78F4" w:tentative="1">
      <w:start w:val="1"/>
      <w:numFmt w:val="bullet"/>
      <w:lvlText w:val="o"/>
      <w:lvlJc w:val="left"/>
      <w:pPr>
        <w:ind w:left="1440" w:hanging="360"/>
      </w:pPr>
      <w:rPr>
        <w:rFonts w:ascii="Courier New" w:hAnsi="Courier New" w:cs="Courier New" w:hint="default"/>
      </w:rPr>
    </w:lvl>
    <w:lvl w:ilvl="2" w:tplc="A3486F42" w:tentative="1">
      <w:start w:val="1"/>
      <w:numFmt w:val="bullet"/>
      <w:lvlText w:val=""/>
      <w:lvlJc w:val="left"/>
      <w:pPr>
        <w:ind w:left="2160" w:hanging="360"/>
      </w:pPr>
      <w:rPr>
        <w:rFonts w:ascii="Wingdings" w:hAnsi="Wingdings" w:hint="default"/>
      </w:rPr>
    </w:lvl>
    <w:lvl w:ilvl="3" w:tplc="8F4E158A" w:tentative="1">
      <w:start w:val="1"/>
      <w:numFmt w:val="bullet"/>
      <w:lvlText w:val=""/>
      <w:lvlJc w:val="left"/>
      <w:pPr>
        <w:ind w:left="2880" w:hanging="360"/>
      </w:pPr>
      <w:rPr>
        <w:rFonts w:ascii="Symbol" w:hAnsi="Symbol" w:hint="default"/>
      </w:rPr>
    </w:lvl>
    <w:lvl w:ilvl="4" w:tplc="B90A36B8" w:tentative="1">
      <w:start w:val="1"/>
      <w:numFmt w:val="bullet"/>
      <w:lvlText w:val="o"/>
      <w:lvlJc w:val="left"/>
      <w:pPr>
        <w:ind w:left="3600" w:hanging="360"/>
      </w:pPr>
      <w:rPr>
        <w:rFonts w:ascii="Courier New" w:hAnsi="Courier New" w:cs="Courier New" w:hint="default"/>
      </w:rPr>
    </w:lvl>
    <w:lvl w:ilvl="5" w:tplc="93547D2E" w:tentative="1">
      <w:start w:val="1"/>
      <w:numFmt w:val="bullet"/>
      <w:lvlText w:val=""/>
      <w:lvlJc w:val="left"/>
      <w:pPr>
        <w:ind w:left="4320" w:hanging="360"/>
      </w:pPr>
      <w:rPr>
        <w:rFonts w:ascii="Wingdings" w:hAnsi="Wingdings" w:hint="default"/>
      </w:rPr>
    </w:lvl>
    <w:lvl w:ilvl="6" w:tplc="D68E8114" w:tentative="1">
      <w:start w:val="1"/>
      <w:numFmt w:val="bullet"/>
      <w:lvlText w:val=""/>
      <w:lvlJc w:val="left"/>
      <w:pPr>
        <w:ind w:left="5040" w:hanging="360"/>
      </w:pPr>
      <w:rPr>
        <w:rFonts w:ascii="Symbol" w:hAnsi="Symbol" w:hint="default"/>
      </w:rPr>
    </w:lvl>
    <w:lvl w:ilvl="7" w:tplc="74FA1C0A" w:tentative="1">
      <w:start w:val="1"/>
      <w:numFmt w:val="bullet"/>
      <w:lvlText w:val="o"/>
      <w:lvlJc w:val="left"/>
      <w:pPr>
        <w:ind w:left="5760" w:hanging="360"/>
      </w:pPr>
      <w:rPr>
        <w:rFonts w:ascii="Courier New" w:hAnsi="Courier New" w:cs="Courier New" w:hint="default"/>
      </w:rPr>
    </w:lvl>
    <w:lvl w:ilvl="8" w:tplc="01346482" w:tentative="1">
      <w:start w:val="1"/>
      <w:numFmt w:val="bullet"/>
      <w:lvlText w:val=""/>
      <w:lvlJc w:val="left"/>
      <w:pPr>
        <w:ind w:left="6480" w:hanging="360"/>
      </w:pPr>
      <w:rPr>
        <w:rFonts w:ascii="Wingdings" w:hAnsi="Wingdings" w:hint="default"/>
      </w:rPr>
    </w:lvl>
  </w:abstractNum>
  <w:abstractNum w:abstractNumId="22" w15:restartNumberingAfterBreak="0">
    <w:nsid w:val="08A43263"/>
    <w:multiLevelType w:val="hybridMultilevel"/>
    <w:tmpl w:val="EC3A296C"/>
    <w:lvl w:ilvl="0" w:tplc="DFDEF350">
      <w:start w:val="1"/>
      <w:numFmt w:val="bullet"/>
      <w:lvlText w:val=""/>
      <w:lvlJc w:val="left"/>
      <w:pPr>
        <w:ind w:left="720" w:hanging="360"/>
      </w:pPr>
      <w:rPr>
        <w:rFonts w:ascii="Symbol" w:hAnsi="Symbol" w:hint="default"/>
      </w:rPr>
    </w:lvl>
    <w:lvl w:ilvl="1" w:tplc="D95C6018" w:tentative="1">
      <w:start w:val="1"/>
      <w:numFmt w:val="bullet"/>
      <w:lvlText w:val="o"/>
      <w:lvlJc w:val="left"/>
      <w:pPr>
        <w:ind w:left="1440" w:hanging="360"/>
      </w:pPr>
      <w:rPr>
        <w:rFonts w:ascii="Courier New" w:hAnsi="Courier New" w:cs="Courier New" w:hint="default"/>
      </w:rPr>
    </w:lvl>
    <w:lvl w:ilvl="2" w:tplc="0C74FBF2" w:tentative="1">
      <w:start w:val="1"/>
      <w:numFmt w:val="bullet"/>
      <w:lvlText w:val=""/>
      <w:lvlJc w:val="left"/>
      <w:pPr>
        <w:ind w:left="2160" w:hanging="360"/>
      </w:pPr>
      <w:rPr>
        <w:rFonts w:ascii="Wingdings" w:hAnsi="Wingdings" w:hint="default"/>
      </w:rPr>
    </w:lvl>
    <w:lvl w:ilvl="3" w:tplc="1350680C" w:tentative="1">
      <w:start w:val="1"/>
      <w:numFmt w:val="bullet"/>
      <w:lvlText w:val=""/>
      <w:lvlJc w:val="left"/>
      <w:pPr>
        <w:ind w:left="2880" w:hanging="360"/>
      </w:pPr>
      <w:rPr>
        <w:rFonts w:ascii="Symbol" w:hAnsi="Symbol" w:hint="default"/>
      </w:rPr>
    </w:lvl>
    <w:lvl w:ilvl="4" w:tplc="019C0132" w:tentative="1">
      <w:start w:val="1"/>
      <w:numFmt w:val="bullet"/>
      <w:lvlText w:val="o"/>
      <w:lvlJc w:val="left"/>
      <w:pPr>
        <w:ind w:left="3600" w:hanging="360"/>
      </w:pPr>
      <w:rPr>
        <w:rFonts w:ascii="Courier New" w:hAnsi="Courier New" w:cs="Courier New" w:hint="default"/>
      </w:rPr>
    </w:lvl>
    <w:lvl w:ilvl="5" w:tplc="2ECCB308" w:tentative="1">
      <w:start w:val="1"/>
      <w:numFmt w:val="bullet"/>
      <w:lvlText w:val=""/>
      <w:lvlJc w:val="left"/>
      <w:pPr>
        <w:ind w:left="4320" w:hanging="360"/>
      </w:pPr>
      <w:rPr>
        <w:rFonts w:ascii="Wingdings" w:hAnsi="Wingdings" w:hint="default"/>
      </w:rPr>
    </w:lvl>
    <w:lvl w:ilvl="6" w:tplc="AFDAA99A" w:tentative="1">
      <w:start w:val="1"/>
      <w:numFmt w:val="bullet"/>
      <w:lvlText w:val=""/>
      <w:lvlJc w:val="left"/>
      <w:pPr>
        <w:ind w:left="5040" w:hanging="360"/>
      </w:pPr>
      <w:rPr>
        <w:rFonts w:ascii="Symbol" w:hAnsi="Symbol" w:hint="default"/>
      </w:rPr>
    </w:lvl>
    <w:lvl w:ilvl="7" w:tplc="19E24578" w:tentative="1">
      <w:start w:val="1"/>
      <w:numFmt w:val="bullet"/>
      <w:lvlText w:val="o"/>
      <w:lvlJc w:val="left"/>
      <w:pPr>
        <w:ind w:left="5760" w:hanging="360"/>
      </w:pPr>
      <w:rPr>
        <w:rFonts w:ascii="Courier New" w:hAnsi="Courier New" w:cs="Courier New" w:hint="default"/>
      </w:rPr>
    </w:lvl>
    <w:lvl w:ilvl="8" w:tplc="7B8AE466" w:tentative="1">
      <w:start w:val="1"/>
      <w:numFmt w:val="bullet"/>
      <w:lvlText w:val=""/>
      <w:lvlJc w:val="left"/>
      <w:pPr>
        <w:ind w:left="6480" w:hanging="360"/>
      </w:pPr>
      <w:rPr>
        <w:rFonts w:ascii="Wingdings" w:hAnsi="Wingdings" w:hint="default"/>
      </w:rPr>
    </w:lvl>
  </w:abstractNum>
  <w:abstractNum w:abstractNumId="23" w15:restartNumberingAfterBreak="0">
    <w:nsid w:val="111E64C8"/>
    <w:multiLevelType w:val="hybridMultilevel"/>
    <w:tmpl w:val="7C9AAE10"/>
    <w:lvl w:ilvl="0" w:tplc="95E28704">
      <w:start w:val="1"/>
      <w:numFmt w:val="bullet"/>
      <w:lvlText w:val=""/>
      <w:lvlJc w:val="left"/>
      <w:pPr>
        <w:ind w:left="720" w:hanging="360"/>
      </w:pPr>
      <w:rPr>
        <w:rFonts w:ascii="Symbol" w:hAnsi="Symbol" w:hint="default"/>
      </w:rPr>
    </w:lvl>
    <w:lvl w:ilvl="1" w:tplc="31805A90" w:tentative="1">
      <w:start w:val="1"/>
      <w:numFmt w:val="bullet"/>
      <w:lvlText w:val="o"/>
      <w:lvlJc w:val="left"/>
      <w:pPr>
        <w:ind w:left="1440" w:hanging="360"/>
      </w:pPr>
      <w:rPr>
        <w:rFonts w:ascii="Courier New" w:hAnsi="Courier New" w:cs="Courier New" w:hint="default"/>
      </w:rPr>
    </w:lvl>
    <w:lvl w:ilvl="2" w:tplc="D994A23C" w:tentative="1">
      <w:start w:val="1"/>
      <w:numFmt w:val="bullet"/>
      <w:lvlText w:val=""/>
      <w:lvlJc w:val="left"/>
      <w:pPr>
        <w:ind w:left="2160" w:hanging="360"/>
      </w:pPr>
      <w:rPr>
        <w:rFonts w:ascii="Wingdings" w:hAnsi="Wingdings" w:hint="default"/>
      </w:rPr>
    </w:lvl>
    <w:lvl w:ilvl="3" w:tplc="8A6E38C8" w:tentative="1">
      <w:start w:val="1"/>
      <w:numFmt w:val="bullet"/>
      <w:lvlText w:val=""/>
      <w:lvlJc w:val="left"/>
      <w:pPr>
        <w:ind w:left="2880" w:hanging="360"/>
      </w:pPr>
      <w:rPr>
        <w:rFonts w:ascii="Symbol" w:hAnsi="Symbol" w:hint="default"/>
      </w:rPr>
    </w:lvl>
    <w:lvl w:ilvl="4" w:tplc="ABB604B2" w:tentative="1">
      <w:start w:val="1"/>
      <w:numFmt w:val="bullet"/>
      <w:lvlText w:val="o"/>
      <w:lvlJc w:val="left"/>
      <w:pPr>
        <w:ind w:left="3600" w:hanging="360"/>
      </w:pPr>
      <w:rPr>
        <w:rFonts w:ascii="Courier New" w:hAnsi="Courier New" w:cs="Courier New" w:hint="default"/>
      </w:rPr>
    </w:lvl>
    <w:lvl w:ilvl="5" w:tplc="7F9865DE" w:tentative="1">
      <w:start w:val="1"/>
      <w:numFmt w:val="bullet"/>
      <w:lvlText w:val=""/>
      <w:lvlJc w:val="left"/>
      <w:pPr>
        <w:ind w:left="4320" w:hanging="360"/>
      </w:pPr>
      <w:rPr>
        <w:rFonts w:ascii="Wingdings" w:hAnsi="Wingdings" w:hint="default"/>
      </w:rPr>
    </w:lvl>
    <w:lvl w:ilvl="6" w:tplc="78386F9A" w:tentative="1">
      <w:start w:val="1"/>
      <w:numFmt w:val="bullet"/>
      <w:lvlText w:val=""/>
      <w:lvlJc w:val="left"/>
      <w:pPr>
        <w:ind w:left="5040" w:hanging="360"/>
      </w:pPr>
      <w:rPr>
        <w:rFonts w:ascii="Symbol" w:hAnsi="Symbol" w:hint="default"/>
      </w:rPr>
    </w:lvl>
    <w:lvl w:ilvl="7" w:tplc="C8C48CEE" w:tentative="1">
      <w:start w:val="1"/>
      <w:numFmt w:val="bullet"/>
      <w:lvlText w:val="o"/>
      <w:lvlJc w:val="left"/>
      <w:pPr>
        <w:ind w:left="5760" w:hanging="360"/>
      </w:pPr>
      <w:rPr>
        <w:rFonts w:ascii="Courier New" w:hAnsi="Courier New" w:cs="Courier New" w:hint="default"/>
      </w:rPr>
    </w:lvl>
    <w:lvl w:ilvl="8" w:tplc="1E84FC38" w:tentative="1">
      <w:start w:val="1"/>
      <w:numFmt w:val="bullet"/>
      <w:lvlText w:val=""/>
      <w:lvlJc w:val="left"/>
      <w:pPr>
        <w:ind w:left="6480" w:hanging="360"/>
      </w:pPr>
      <w:rPr>
        <w:rFonts w:ascii="Wingdings" w:hAnsi="Wingdings" w:hint="default"/>
      </w:rPr>
    </w:lvl>
  </w:abstractNum>
  <w:abstractNum w:abstractNumId="24" w15:restartNumberingAfterBreak="0">
    <w:nsid w:val="1BA7189A"/>
    <w:multiLevelType w:val="hybridMultilevel"/>
    <w:tmpl w:val="DD5EFD2C"/>
    <w:lvl w:ilvl="0" w:tplc="4FD649B6">
      <w:start w:val="1"/>
      <w:numFmt w:val="bullet"/>
      <w:lvlText w:val=""/>
      <w:lvlJc w:val="left"/>
      <w:pPr>
        <w:ind w:left="720" w:hanging="360"/>
      </w:pPr>
      <w:rPr>
        <w:rFonts w:ascii="Symbol" w:hAnsi="Symbol" w:hint="default"/>
      </w:rPr>
    </w:lvl>
    <w:lvl w:ilvl="1" w:tplc="50E4C8FC" w:tentative="1">
      <w:start w:val="1"/>
      <w:numFmt w:val="bullet"/>
      <w:lvlText w:val="o"/>
      <w:lvlJc w:val="left"/>
      <w:pPr>
        <w:ind w:left="1440" w:hanging="360"/>
      </w:pPr>
      <w:rPr>
        <w:rFonts w:ascii="Courier New" w:hAnsi="Courier New" w:cs="Courier New" w:hint="default"/>
      </w:rPr>
    </w:lvl>
    <w:lvl w:ilvl="2" w:tplc="DF880FB0" w:tentative="1">
      <w:start w:val="1"/>
      <w:numFmt w:val="bullet"/>
      <w:lvlText w:val=""/>
      <w:lvlJc w:val="left"/>
      <w:pPr>
        <w:ind w:left="2160" w:hanging="360"/>
      </w:pPr>
      <w:rPr>
        <w:rFonts w:ascii="Wingdings" w:hAnsi="Wingdings" w:hint="default"/>
      </w:rPr>
    </w:lvl>
    <w:lvl w:ilvl="3" w:tplc="553650EC" w:tentative="1">
      <w:start w:val="1"/>
      <w:numFmt w:val="bullet"/>
      <w:lvlText w:val=""/>
      <w:lvlJc w:val="left"/>
      <w:pPr>
        <w:ind w:left="2880" w:hanging="360"/>
      </w:pPr>
      <w:rPr>
        <w:rFonts w:ascii="Symbol" w:hAnsi="Symbol" w:hint="default"/>
      </w:rPr>
    </w:lvl>
    <w:lvl w:ilvl="4" w:tplc="D4DC7D02" w:tentative="1">
      <w:start w:val="1"/>
      <w:numFmt w:val="bullet"/>
      <w:lvlText w:val="o"/>
      <w:lvlJc w:val="left"/>
      <w:pPr>
        <w:ind w:left="3600" w:hanging="360"/>
      </w:pPr>
      <w:rPr>
        <w:rFonts w:ascii="Courier New" w:hAnsi="Courier New" w:cs="Courier New" w:hint="default"/>
      </w:rPr>
    </w:lvl>
    <w:lvl w:ilvl="5" w:tplc="4FF856DC" w:tentative="1">
      <w:start w:val="1"/>
      <w:numFmt w:val="bullet"/>
      <w:lvlText w:val=""/>
      <w:lvlJc w:val="left"/>
      <w:pPr>
        <w:ind w:left="4320" w:hanging="360"/>
      </w:pPr>
      <w:rPr>
        <w:rFonts w:ascii="Wingdings" w:hAnsi="Wingdings" w:hint="default"/>
      </w:rPr>
    </w:lvl>
    <w:lvl w:ilvl="6" w:tplc="BB3ED7FA" w:tentative="1">
      <w:start w:val="1"/>
      <w:numFmt w:val="bullet"/>
      <w:lvlText w:val=""/>
      <w:lvlJc w:val="left"/>
      <w:pPr>
        <w:ind w:left="5040" w:hanging="360"/>
      </w:pPr>
      <w:rPr>
        <w:rFonts w:ascii="Symbol" w:hAnsi="Symbol" w:hint="default"/>
      </w:rPr>
    </w:lvl>
    <w:lvl w:ilvl="7" w:tplc="21E6D83E" w:tentative="1">
      <w:start w:val="1"/>
      <w:numFmt w:val="bullet"/>
      <w:lvlText w:val="o"/>
      <w:lvlJc w:val="left"/>
      <w:pPr>
        <w:ind w:left="5760" w:hanging="360"/>
      </w:pPr>
      <w:rPr>
        <w:rFonts w:ascii="Courier New" w:hAnsi="Courier New" w:cs="Courier New" w:hint="default"/>
      </w:rPr>
    </w:lvl>
    <w:lvl w:ilvl="8" w:tplc="6F80DE6A" w:tentative="1">
      <w:start w:val="1"/>
      <w:numFmt w:val="bullet"/>
      <w:lvlText w:val=""/>
      <w:lvlJc w:val="left"/>
      <w:pPr>
        <w:ind w:left="6480" w:hanging="360"/>
      </w:pPr>
      <w:rPr>
        <w:rFonts w:ascii="Wingdings" w:hAnsi="Wingdings" w:hint="default"/>
      </w:rPr>
    </w:lvl>
  </w:abstractNum>
  <w:abstractNum w:abstractNumId="25" w15:restartNumberingAfterBreak="0">
    <w:nsid w:val="32DE378D"/>
    <w:multiLevelType w:val="hybridMultilevel"/>
    <w:tmpl w:val="669255CA"/>
    <w:lvl w:ilvl="0" w:tplc="A2AAE384">
      <w:start w:val="1"/>
      <w:numFmt w:val="bullet"/>
      <w:pStyle w:val="Bullet"/>
      <w:lvlText w:val=""/>
      <w:lvlJc w:val="left"/>
      <w:pPr>
        <w:ind w:left="363" w:hanging="360"/>
      </w:pPr>
      <w:rPr>
        <w:rFonts w:ascii="Symbol" w:hAnsi="Symbol" w:hint="default"/>
      </w:rPr>
    </w:lvl>
    <w:lvl w:ilvl="1" w:tplc="C84C8BF8">
      <w:start w:val="1"/>
      <w:numFmt w:val="bullet"/>
      <w:pStyle w:val="Bullet-indent"/>
      <w:lvlText w:val="o"/>
      <w:lvlJc w:val="left"/>
      <w:pPr>
        <w:ind w:left="1083" w:hanging="360"/>
      </w:pPr>
      <w:rPr>
        <w:rFonts w:ascii="Courier New" w:hAnsi="Courier New" w:cs="Courier New" w:hint="default"/>
      </w:rPr>
    </w:lvl>
    <w:lvl w:ilvl="2" w:tplc="1F6CFB60" w:tentative="1">
      <w:start w:val="1"/>
      <w:numFmt w:val="bullet"/>
      <w:lvlText w:val=""/>
      <w:lvlJc w:val="left"/>
      <w:pPr>
        <w:ind w:left="1803" w:hanging="360"/>
      </w:pPr>
      <w:rPr>
        <w:rFonts w:ascii="Wingdings" w:hAnsi="Wingdings" w:hint="default"/>
      </w:rPr>
    </w:lvl>
    <w:lvl w:ilvl="3" w:tplc="3828C504" w:tentative="1">
      <w:start w:val="1"/>
      <w:numFmt w:val="bullet"/>
      <w:lvlText w:val=""/>
      <w:lvlJc w:val="left"/>
      <w:pPr>
        <w:ind w:left="2523" w:hanging="360"/>
      </w:pPr>
      <w:rPr>
        <w:rFonts w:ascii="Symbol" w:hAnsi="Symbol" w:hint="default"/>
      </w:rPr>
    </w:lvl>
    <w:lvl w:ilvl="4" w:tplc="DF567C70" w:tentative="1">
      <w:start w:val="1"/>
      <w:numFmt w:val="bullet"/>
      <w:lvlText w:val="o"/>
      <w:lvlJc w:val="left"/>
      <w:pPr>
        <w:ind w:left="3243" w:hanging="360"/>
      </w:pPr>
      <w:rPr>
        <w:rFonts w:ascii="Courier New" w:hAnsi="Courier New" w:cs="Courier New" w:hint="default"/>
      </w:rPr>
    </w:lvl>
    <w:lvl w:ilvl="5" w:tplc="3AAC384A" w:tentative="1">
      <w:start w:val="1"/>
      <w:numFmt w:val="bullet"/>
      <w:lvlText w:val=""/>
      <w:lvlJc w:val="left"/>
      <w:pPr>
        <w:ind w:left="3963" w:hanging="360"/>
      </w:pPr>
      <w:rPr>
        <w:rFonts w:ascii="Wingdings" w:hAnsi="Wingdings" w:hint="default"/>
      </w:rPr>
    </w:lvl>
    <w:lvl w:ilvl="6" w:tplc="BBF2E464" w:tentative="1">
      <w:start w:val="1"/>
      <w:numFmt w:val="bullet"/>
      <w:lvlText w:val=""/>
      <w:lvlJc w:val="left"/>
      <w:pPr>
        <w:ind w:left="4683" w:hanging="360"/>
      </w:pPr>
      <w:rPr>
        <w:rFonts w:ascii="Symbol" w:hAnsi="Symbol" w:hint="default"/>
      </w:rPr>
    </w:lvl>
    <w:lvl w:ilvl="7" w:tplc="5DAAE0FC" w:tentative="1">
      <w:start w:val="1"/>
      <w:numFmt w:val="bullet"/>
      <w:lvlText w:val="o"/>
      <w:lvlJc w:val="left"/>
      <w:pPr>
        <w:ind w:left="5403" w:hanging="360"/>
      </w:pPr>
      <w:rPr>
        <w:rFonts w:ascii="Courier New" w:hAnsi="Courier New" w:cs="Courier New" w:hint="default"/>
      </w:rPr>
    </w:lvl>
    <w:lvl w:ilvl="8" w:tplc="D11810FE" w:tentative="1">
      <w:start w:val="1"/>
      <w:numFmt w:val="bullet"/>
      <w:lvlText w:val=""/>
      <w:lvlJc w:val="left"/>
      <w:pPr>
        <w:ind w:left="6123" w:hanging="360"/>
      </w:pPr>
      <w:rPr>
        <w:rFonts w:ascii="Wingdings" w:hAnsi="Wingdings" w:hint="default"/>
      </w:rPr>
    </w:lvl>
  </w:abstractNum>
  <w:abstractNum w:abstractNumId="26" w15:restartNumberingAfterBreak="0">
    <w:nsid w:val="3ABF70BB"/>
    <w:multiLevelType w:val="hybridMultilevel"/>
    <w:tmpl w:val="239A4BC8"/>
    <w:lvl w:ilvl="0" w:tplc="905A7160">
      <w:start w:val="1"/>
      <w:numFmt w:val="bullet"/>
      <w:lvlText w:val=""/>
      <w:lvlJc w:val="left"/>
      <w:pPr>
        <w:ind w:left="720" w:hanging="360"/>
      </w:pPr>
      <w:rPr>
        <w:rFonts w:ascii="Symbol" w:hAnsi="Symbol" w:hint="default"/>
      </w:rPr>
    </w:lvl>
    <w:lvl w:ilvl="1" w:tplc="0C80C5E0" w:tentative="1">
      <w:start w:val="1"/>
      <w:numFmt w:val="bullet"/>
      <w:lvlText w:val="o"/>
      <w:lvlJc w:val="left"/>
      <w:pPr>
        <w:ind w:left="1440" w:hanging="360"/>
      </w:pPr>
      <w:rPr>
        <w:rFonts w:ascii="Courier New" w:hAnsi="Courier New" w:cs="Courier New" w:hint="default"/>
      </w:rPr>
    </w:lvl>
    <w:lvl w:ilvl="2" w:tplc="C28ACBF0" w:tentative="1">
      <w:start w:val="1"/>
      <w:numFmt w:val="bullet"/>
      <w:lvlText w:val=""/>
      <w:lvlJc w:val="left"/>
      <w:pPr>
        <w:ind w:left="2160" w:hanging="360"/>
      </w:pPr>
      <w:rPr>
        <w:rFonts w:ascii="Wingdings" w:hAnsi="Wingdings" w:hint="default"/>
      </w:rPr>
    </w:lvl>
    <w:lvl w:ilvl="3" w:tplc="31EA43B2" w:tentative="1">
      <w:start w:val="1"/>
      <w:numFmt w:val="bullet"/>
      <w:lvlText w:val=""/>
      <w:lvlJc w:val="left"/>
      <w:pPr>
        <w:ind w:left="2880" w:hanging="360"/>
      </w:pPr>
      <w:rPr>
        <w:rFonts w:ascii="Symbol" w:hAnsi="Symbol" w:hint="default"/>
      </w:rPr>
    </w:lvl>
    <w:lvl w:ilvl="4" w:tplc="8DEC3AB4" w:tentative="1">
      <w:start w:val="1"/>
      <w:numFmt w:val="bullet"/>
      <w:lvlText w:val="o"/>
      <w:lvlJc w:val="left"/>
      <w:pPr>
        <w:ind w:left="3600" w:hanging="360"/>
      </w:pPr>
      <w:rPr>
        <w:rFonts w:ascii="Courier New" w:hAnsi="Courier New" w:cs="Courier New" w:hint="default"/>
      </w:rPr>
    </w:lvl>
    <w:lvl w:ilvl="5" w:tplc="9578C9B8" w:tentative="1">
      <w:start w:val="1"/>
      <w:numFmt w:val="bullet"/>
      <w:lvlText w:val=""/>
      <w:lvlJc w:val="left"/>
      <w:pPr>
        <w:ind w:left="4320" w:hanging="360"/>
      </w:pPr>
      <w:rPr>
        <w:rFonts w:ascii="Wingdings" w:hAnsi="Wingdings" w:hint="default"/>
      </w:rPr>
    </w:lvl>
    <w:lvl w:ilvl="6" w:tplc="347CFD34" w:tentative="1">
      <w:start w:val="1"/>
      <w:numFmt w:val="bullet"/>
      <w:lvlText w:val=""/>
      <w:lvlJc w:val="left"/>
      <w:pPr>
        <w:ind w:left="5040" w:hanging="360"/>
      </w:pPr>
      <w:rPr>
        <w:rFonts w:ascii="Symbol" w:hAnsi="Symbol" w:hint="default"/>
      </w:rPr>
    </w:lvl>
    <w:lvl w:ilvl="7" w:tplc="3A0AE5E0" w:tentative="1">
      <w:start w:val="1"/>
      <w:numFmt w:val="bullet"/>
      <w:lvlText w:val="o"/>
      <w:lvlJc w:val="left"/>
      <w:pPr>
        <w:ind w:left="5760" w:hanging="360"/>
      </w:pPr>
      <w:rPr>
        <w:rFonts w:ascii="Courier New" w:hAnsi="Courier New" w:cs="Courier New" w:hint="default"/>
      </w:rPr>
    </w:lvl>
    <w:lvl w:ilvl="8" w:tplc="46242DAE" w:tentative="1">
      <w:start w:val="1"/>
      <w:numFmt w:val="bullet"/>
      <w:lvlText w:val=""/>
      <w:lvlJc w:val="left"/>
      <w:pPr>
        <w:ind w:left="6480" w:hanging="360"/>
      </w:pPr>
      <w:rPr>
        <w:rFonts w:ascii="Wingdings" w:hAnsi="Wingdings" w:hint="default"/>
      </w:rPr>
    </w:lvl>
  </w:abstractNum>
  <w:abstractNum w:abstractNumId="27" w15:restartNumberingAfterBreak="0">
    <w:nsid w:val="420860A3"/>
    <w:multiLevelType w:val="hybridMultilevel"/>
    <w:tmpl w:val="2DF6A548"/>
    <w:lvl w:ilvl="0" w:tplc="9692C386">
      <w:start w:val="1"/>
      <w:numFmt w:val="decimal"/>
      <w:pStyle w:val="Heading2-numbered"/>
      <w:lvlText w:val="%1."/>
      <w:lvlJc w:val="left"/>
      <w:pPr>
        <w:ind w:left="360" w:hanging="360"/>
      </w:pPr>
    </w:lvl>
    <w:lvl w:ilvl="1" w:tplc="60D2CE7C" w:tentative="1">
      <w:start w:val="1"/>
      <w:numFmt w:val="lowerLetter"/>
      <w:lvlText w:val="%2."/>
      <w:lvlJc w:val="left"/>
      <w:pPr>
        <w:ind w:left="1080" w:hanging="360"/>
      </w:pPr>
    </w:lvl>
    <w:lvl w:ilvl="2" w:tplc="F6AA6DA4" w:tentative="1">
      <w:start w:val="1"/>
      <w:numFmt w:val="lowerRoman"/>
      <w:lvlText w:val="%3."/>
      <w:lvlJc w:val="right"/>
      <w:pPr>
        <w:ind w:left="1800" w:hanging="180"/>
      </w:pPr>
    </w:lvl>
    <w:lvl w:ilvl="3" w:tplc="863A0724" w:tentative="1">
      <w:start w:val="1"/>
      <w:numFmt w:val="decimal"/>
      <w:lvlText w:val="%4."/>
      <w:lvlJc w:val="left"/>
      <w:pPr>
        <w:ind w:left="2520" w:hanging="360"/>
      </w:pPr>
    </w:lvl>
    <w:lvl w:ilvl="4" w:tplc="3AECC878" w:tentative="1">
      <w:start w:val="1"/>
      <w:numFmt w:val="lowerLetter"/>
      <w:lvlText w:val="%5."/>
      <w:lvlJc w:val="left"/>
      <w:pPr>
        <w:ind w:left="3240" w:hanging="360"/>
      </w:pPr>
    </w:lvl>
    <w:lvl w:ilvl="5" w:tplc="51D823EC" w:tentative="1">
      <w:start w:val="1"/>
      <w:numFmt w:val="lowerRoman"/>
      <w:lvlText w:val="%6."/>
      <w:lvlJc w:val="right"/>
      <w:pPr>
        <w:ind w:left="3960" w:hanging="180"/>
      </w:pPr>
    </w:lvl>
    <w:lvl w:ilvl="6" w:tplc="84FE723C" w:tentative="1">
      <w:start w:val="1"/>
      <w:numFmt w:val="decimal"/>
      <w:lvlText w:val="%7."/>
      <w:lvlJc w:val="left"/>
      <w:pPr>
        <w:ind w:left="4680" w:hanging="360"/>
      </w:pPr>
    </w:lvl>
    <w:lvl w:ilvl="7" w:tplc="DB0ACAAA" w:tentative="1">
      <w:start w:val="1"/>
      <w:numFmt w:val="lowerLetter"/>
      <w:lvlText w:val="%8."/>
      <w:lvlJc w:val="left"/>
      <w:pPr>
        <w:ind w:left="5400" w:hanging="360"/>
      </w:pPr>
    </w:lvl>
    <w:lvl w:ilvl="8" w:tplc="81E848EE" w:tentative="1">
      <w:start w:val="1"/>
      <w:numFmt w:val="lowerRoman"/>
      <w:lvlText w:val="%9."/>
      <w:lvlJc w:val="right"/>
      <w:pPr>
        <w:ind w:left="6120" w:hanging="180"/>
      </w:pPr>
    </w:lvl>
  </w:abstractNum>
  <w:abstractNum w:abstractNumId="28" w15:restartNumberingAfterBreak="0">
    <w:nsid w:val="4A23701B"/>
    <w:multiLevelType w:val="hybridMultilevel"/>
    <w:tmpl w:val="ECE6E318"/>
    <w:lvl w:ilvl="0" w:tplc="93E8B50A">
      <w:start w:val="1"/>
      <w:numFmt w:val="bullet"/>
      <w:lvlText w:val=""/>
      <w:lvlJc w:val="left"/>
      <w:pPr>
        <w:ind w:left="720" w:hanging="360"/>
      </w:pPr>
      <w:rPr>
        <w:rFonts w:ascii="Symbol" w:hAnsi="Symbol" w:hint="default"/>
        <w:color w:val="auto"/>
      </w:rPr>
    </w:lvl>
    <w:lvl w:ilvl="1" w:tplc="F522E402" w:tentative="1">
      <w:start w:val="1"/>
      <w:numFmt w:val="bullet"/>
      <w:lvlText w:val="o"/>
      <w:lvlJc w:val="left"/>
      <w:pPr>
        <w:ind w:left="1440" w:hanging="360"/>
      </w:pPr>
      <w:rPr>
        <w:rFonts w:ascii="Courier New" w:hAnsi="Courier New" w:cs="Courier New" w:hint="default"/>
      </w:rPr>
    </w:lvl>
    <w:lvl w:ilvl="2" w:tplc="D4DA26A6" w:tentative="1">
      <w:start w:val="1"/>
      <w:numFmt w:val="bullet"/>
      <w:lvlText w:val=""/>
      <w:lvlJc w:val="left"/>
      <w:pPr>
        <w:ind w:left="2160" w:hanging="360"/>
      </w:pPr>
      <w:rPr>
        <w:rFonts w:ascii="Wingdings" w:hAnsi="Wingdings" w:hint="default"/>
      </w:rPr>
    </w:lvl>
    <w:lvl w:ilvl="3" w:tplc="39C21024" w:tentative="1">
      <w:start w:val="1"/>
      <w:numFmt w:val="bullet"/>
      <w:lvlText w:val=""/>
      <w:lvlJc w:val="left"/>
      <w:pPr>
        <w:ind w:left="2880" w:hanging="360"/>
      </w:pPr>
      <w:rPr>
        <w:rFonts w:ascii="Symbol" w:hAnsi="Symbol" w:hint="default"/>
      </w:rPr>
    </w:lvl>
    <w:lvl w:ilvl="4" w:tplc="AA309B1E" w:tentative="1">
      <w:start w:val="1"/>
      <w:numFmt w:val="bullet"/>
      <w:lvlText w:val="o"/>
      <w:lvlJc w:val="left"/>
      <w:pPr>
        <w:ind w:left="3600" w:hanging="360"/>
      </w:pPr>
      <w:rPr>
        <w:rFonts w:ascii="Courier New" w:hAnsi="Courier New" w:cs="Courier New" w:hint="default"/>
      </w:rPr>
    </w:lvl>
    <w:lvl w:ilvl="5" w:tplc="3FE2306C" w:tentative="1">
      <w:start w:val="1"/>
      <w:numFmt w:val="bullet"/>
      <w:lvlText w:val=""/>
      <w:lvlJc w:val="left"/>
      <w:pPr>
        <w:ind w:left="4320" w:hanging="360"/>
      </w:pPr>
      <w:rPr>
        <w:rFonts w:ascii="Wingdings" w:hAnsi="Wingdings" w:hint="default"/>
      </w:rPr>
    </w:lvl>
    <w:lvl w:ilvl="6" w:tplc="E4682C96" w:tentative="1">
      <w:start w:val="1"/>
      <w:numFmt w:val="bullet"/>
      <w:lvlText w:val=""/>
      <w:lvlJc w:val="left"/>
      <w:pPr>
        <w:ind w:left="5040" w:hanging="360"/>
      </w:pPr>
      <w:rPr>
        <w:rFonts w:ascii="Symbol" w:hAnsi="Symbol" w:hint="default"/>
      </w:rPr>
    </w:lvl>
    <w:lvl w:ilvl="7" w:tplc="C990320E" w:tentative="1">
      <w:start w:val="1"/>
      <w:numFmt w:val="bullet"/>
      <w:lvlText w:val="o"/>
      <w:lvlJc w:val="left"/>
      <w:pPr>
        <w:ind w:left="5760" w:hanging="360"/>
      </w:pPr>
      <w:rPr>
        <w:rFonts w:ascii="Courier New" w:hAnsi="Courier New" w:cs="Courier New" w:hint="default"/>
      </w:rPr>
    </w:lvl>
    <w:lvl w:ilvl="8" w:tplc="981E4350" w:tentative="1">
      <w:start w:val="1"/>
      <w:numFmt w:val="bullet"/>
      <w:lvlText w:val=""/>
      <w:lvlJc w:val="left"/>
      <w:pPr>
        <w:ind w:left="6480" w:hanging="360"/>
      </w:pPr>
      <w:rPr>
        <w:rFonts w:ascii="Wingdings" w:hAnsi="Wingdings" w:hint="default"/>
      </w:rPr>
    </w:lvl>
  </w:abstractNum>
  <w:abstractNum w:abstractNumId="29" w15:restartNumberingAfterBreak="0">
    <w:nsid w:val="5490527A"/>
    <w:multiLevelType w:val="hybridMultilevel"/>
    <w:tmpl w:val="D47295CA"/>
    <w:lvl w:ilvl="0" w:tplc="780A7D36">
      <w:start w:val="1"/>
      <w:numFmt w:val="bullet"/>
      <w:lvlText w:val=""/>
      <w:lvlJc w:val="left"/>
      <w:pPr>
        <w:ind w:left="720" w:hanging="360"/>
      </w:pPr>
      <w:rPr>
        <w:rFonts w:ascii="Symbol" w:hAnsi="Symbol" w:hint="default"/>
      </w:rPr>
    </w:lvl>
    <w:lvl w:ilvl="1" w:tplc="1EAC3148" w:tentative="1">
      <w:start w:val="1"/>
      <w:numFmt w:val="bullet"/>
      <w:lvlText w:val="o"/>
      <w:lvlJc w:val="left"/>
      <w:pPr>
        <w:ind w:left="1440" w:hanging="360"/>
      </w:pPr>
      <w:rPr>
        <w:rFonts w:ascii="Courier New" w:hAnsi="Courier New" w:cs="Courier New" w:hint="default"/>
      </w:rPr>
    </w:lvl>
    <w:lvl w:ilvl="2" w:tplc="F386EC02" w:tentative="1">
      <w:start w:val="1"/>
      <w:numFmt w:val="bullet"/>
      <w:lvlText w:val=""/>
      <w:lvlJc w:val="left"/>
      <w:pPr>
        <w:ind w:left="2160" w:hanging="360"/>
      </w:pPr>
      <w:rPr>
        <w:rFonts w:ascii="Wingdings" w:hAnsi="Wingdings" w:hint="default"/>
      </w:rPr>
    </w:lvl>
    <w:lvl w:ilvl="3" w:tplc="97AAE874" w:tentative="1">
      <w:start w:val="1"/>
      <w:numFmt w:val="bullet"/>
      <w:lvlText w:val=""/>
      <w:lvlJc w:val="left"/>
      <w:pPr>
        <w:ind w:left="2880" w:hanging="360"/>
      </w:pPr>
      <w:rPr>
        <w:rFonts w:ascii="Symbol" w:hAnsi="Symbol" w:hint="default"/>
      </w:rPr>
    </w:lvl>
    <w:lvl w:ilvl="4" w:tplc="3D72A1F2" w:tentative="1">
      <w:start w:val="1"/>
      <w:numFmt w:val="bullet"/>
      <w:lvlText w:val="o"/>
      <w:lvlJc w:val="left"/>
      <w:pPr>
        <w:ind w:left="3600" w:hanging="360"/>
      </w:pPr>
      <w:rPr>
        <w:rFonts w:ascii="Courier New" w:hAnsi="Courier New" w:cs="Courier New" w:hint="default"/>
      </w:rPr>
    </w:lvl>
    <w:lvl w:ilvl="5" w:tplc="712AEA96" w:tentative="1">
      <w:start w:val="1"/>
      <w:numFmt w:val="bullet"/>
      <w:lvlText w:val=""/>
      <w:lvlJc w:val="left"/>
      <w:pPr>
        <w:ind w:left="4320" w:hanging="360"/>
      </w:pPr>
      <w:rPr>
        <w:rFonts w:ascii="Wingdings" w:hAnsi="Wingdings" w:hint="default"/>
      </w:rPr>
    </w:lvl>
    <w:lvl w:ilvl="6" w:tplc="10AC0F76" w:tentative="1">
      <w:start w:val="1"/>
      <w:numFmt w:val="bullet"/>
      <w:lvlText w:val=""/>
      <w:lvlJc w:val="left"/>
      <w:pPr>
        <w:ind w:left="5040" w:hanging="360"/>
      </w:pPr>
      <w:rPr>
        <w:rFonts w:ascii="Symbol" w:hAnsi="Symbol" w:hint="default"/>
      </w:rPr>
    </w:lvl>
    <w:lvl w:ilvl="7" w:tplc="A85AF6FC" w:tentative="1">
      <w:start w:val="1"/>
      <w:numFmt w:val="bullet"/>
      <w:lvlText w:val="o"/>
      <w:lvlJc w:val="left"/>
      <w:pPr>
        <w:ind w:left="5760" w:hanging="360"/>
      </w:pPr>
      <w:rPr>
        <w:rFonts w:ascii="Courier New" w:hAnsi="Courier New" w:cs="Courier New" w:hint="default"/>
      </w:rPr>
    </w:lvl>
    <w:lvl w:ilvl="8" w:tplc="D3C6D5F2" w:tentative="1">
      <w:start w:val="1"/>
      <w:numFmt w:val="bullet"/>
      <w:lvlText w:val=""/>
      <w:lvlJc w:val="left"/>
      <w:pPr>
        <w:ind w:left="6480" w:hanging="360"/>
      </w:pPr>
      <w:rPr>
        <w:rFonts w:ascii="Wingdings" w:hAnsi="Wingdings" w:hint="default"/>
      </w:rPr>
    </w:lvl>
  </w:abstractNum>
  <w:abstractNum w:abstractNumId="30" w15:restartNumberingAfterBreak="0">
    <w:nsid w:val="602666C2"/>
    <w:multiLevelType w:val="hybridMultilevel"/>
    <w:tmpl w:val="27D6BBA8"/>
    <w:lvl w:ilvl="0" w:tplc="0EFAF4E8">
      <w:start w:val="1"/>
      <w:numFmt w:val="bullet"/>
      <w:lvlText w:val=""/>
      <w:lvlJc w:val="left"/>
      <w:pPr>
        <w:ind w:left="720" w:hanging="360"/>
      </w:pPr>
      <w:rPr>
        <w:rFonts w:ascii="Symbol" w:hAnsi="Symbol" w:hint="default"/>
      </w:rPr>
    </w:lvl>
    <w:lvl w:ilvl="1" w:tplc="E9A4CEB6" w:tentative="1">
      <w:start w:val="1"/>
      <w:numFmt w:val="bullet"/>
      <w:lvlText w:val="o"/>
      <w:lvlJc w:val="left"/>
      <w:pPr>
        <w:ind w:left="1440" w:hanging="360"/>
      </w:pPr>
      <w:rPr>
        <w:rFonts w:ascii="Courier New" w:hAnsi="Courier New" w:cs="Courier New" w:hint="default"/>
      </w:rPr>
    </w:lvl>
    <w:lvl w:ilvl="2" w:tplc="90B62DDE" w:tentative="1">
      <w:start w:val="1"/>
      <w:numFmt w:val="bullet"/>
      <w:lvlText w:val=""/>
      <w:lvlJc w:val="left"/>
      <w:pPr>
        <w:ind w:left="2160" w:hanging="360"/>
      </w:pPr>
      <w:rPr>
        <w:rFonts w:ascii="Wingdings" w:hAnsi="Wingdings" w:hint="default"/>
      </w:rPr>
    </w:lvl>
    <w:lvl w:ilvl="3" w:tplc="07E406BC" w:tentative="1">
      <w:start w:val="1"/>
      <w:numFmt w:val="bullet"/>
      <w:lvlText w:val=""/>
      <w:lvlJc w:val="left"/>
      <w:pPr>
        <w:ind w:left="2880" w:hanging="360"/>
      </w:pPr>
      <w:rPr>
        <w:rFonts w:ascii="Symbol" w:hAnsi="Symbol" w:hint="default"/>
      </w:rPr>
    </w:lvl>
    <w:lvl w:ilvl="4" w:tplc="DA9629DC" w:tentative="1">
      <w:start w:val="1"/>
      <w:numFmt w:val="bullet"/>
      <w:lvlText w:val="o"/>
      <w:lvlJc w:val="left"/>
      <w:pPr>
        <w:ind w:left="3600" w:hanging="360"/>
      </w:pPr>
      <w:rPr>
        <w:rFonts w:ascii="Courier New" w:hAnsi="Courier New" w:cs="Courier New" w:hint="default"/>
      </w:rPr>
    </w:lvl>
    <w:lvl w:ilvl="5" w:tplc="5C8607C6" w:tentative="1">
      <w:start w:val="1"/>
      <w:numFmt w:val="bullet"/>
      <w:lvlText w:val=""/>
      <w:lvlJc w:val="left"/>
      <w:pPr>
        <w:ind w:left="4320" w:hanging="360"/>
      </w:pPr>
      <w:rPr>
        <w:rFonts w:ascii="Wingdings" w:hAnsi="Wingdings" w:hint="default"/>
      </w:rPr>
    </w:lvl>
    <w:lvl w:ilvl="6" w:tplc="76C4C9A2" w:tentative="1">
      <w:start w:val="1"/>
      <w:numFmt w:val="bullet"/>
      <w:lvlText w:val=""/>
      <w:lvlJc w:val="left"/>
      <w:pPr>
        <w:ind w:left="5040" w:hanging="360"/>
      </w:pPr>
      <w:rPr>
        <w:rFonts w:ascii="Symbol" w:hAnsi="Symbol" w:hint="default"/>
      </w:rPr>
    </w:lvl>
    <w:lvl w:ilvl="7" w:tplc="E808F95E" w:tentative="1">
      <w:start w:val="1"/>
      <w:numFmt w:val="bullet"/>
      <w:lvlText w:val="o"/>
      <w:lvlJc w:val="left"/>
      <w:pPr>
        <w:ind w:left="5760" w:hanging="360"/>
      </w:pPr>
      <w:rPr>
        <w:rFonts w:ascii="Courier New" w:hAnsi="Courier New" w:cs="Courier New" w:hint="default"/>
      </w:rPr>
    </w:lvl>
    <w:lvl w:ilvl="8" w:tplc="17F6779C" w:tentative="1">
      <w:start w:val="1"/>
      <w:numFmt w:val="bullet"/>
      <w:lvlText w:val=""/>
      <w:lvlJc w:val="left"/>
      <w:pPr>
        <w:ind w:left="6480" w:hanging="360"/>
      </w:pPr>
      <w:rPr>
        <w:rFonts w:ascii="Wingdings" w:hAnsi="Wingdings" w:hint="default"/>
      </w:rPr>
    </w:lvl>
  </w:abstractNum>
  <w:abstractNum w:abstractNumId="31" w15:restartNumberingAfterBreak="0">
    <w:nsid w:val="63F759CD"/>
    <w:multiLevelType w:val="hybridMultilevel"/>
    <w:tmpl w:val="6FF22088"/>
    <w:lvl w:ilvl="0" w:tplc="719E155C">
      <w:start w:val="1"/>
      <w:numFmt w:val="decimal"/>
      <w:pStyle w:val="Heading4"/>
      <w:lvlText w:val="%1."/>
      <w:lvlJc w:val="left"/>
      <w:pPr>
        <w:ind w:left="360" w:hanging="360"/>
      </w:pPr>
    </w:lvl>
    <w:lvl w:ilvl="1" w:tplc="E74266F0" w:tentative="1">
      <w:start w:val="1"/>
      <w:numFmt w:val="lowerLetter"/>
      <w:lvlText w:val="%2."/>
      <w:lvlJc w:val="left"/>
      <w:pPr>
        <w:ind w:left="1080" w:hanging="360"/>
      </w:pPr>
    </w:lvl>
    <w:lvl w:ilvl="2" w:tplc="A4C2103A" w:tentative="1">
      <w:start w:val="1"/>
      <w:numFmt w:val="lowerRoman"/>
      <w:lvlText w:val="%3."/>
      <w:lvlJc w:val="right"/>
      <w:pPr>
        <w:ind w:left="1800" w:hanging="180"/>
      </w:pPr>
    </w:lvl>
    <w:lvl w:ilvl="3" w:tplc="CB7008BC" w:tentative="1">
      <w:start w:val="1"/>
      <w:numFmt w:val="decimal"/>
      <w:lvlText w:val="%4."/>
      <w:lvlJc w:val="left"/>
      <w:pPr>
        <w:ind w:left="2520" w:hanging="360"/>
      </w:pPr>
    </w:lvl>
    <w:lvl w:ilvl="4" w:tplc="595C9BBA" w:tentative="1">
      <w:start w:val="1"/>
      <w:numFmt w:val="lowerLetter"/>
      <w:lvlText w:val="%5."/>
      <w:lvlJc w:val="left"/>
      <w:pPr>
        <w:ind w:left="3240" w:hanging="360"/>
      </w:pPr>
    </w:lvl>
    <w:lvl w:ilvl="5" w:tplc="AFDAC6C8" w:tentative="1">
      <w:start w:val="1"/>
      <w:numFmt w:val="lowerRoman"/>
      <w:lvlText w:val="%6."/>
      <w:lvlJc w:val="right"/>
      <w:pPr>
        <w:ind w:left="3960" w:hanging="180"/>
      </w:pPr>
    </w:lvl>
    <w:lvl w:ilvl="6" w:tplc="902AFE16" w:tentative="1">
      <w:start w:val="1"/>
      <w:numFmt w:val="decimal"/>
      <w:lvlText w:val="%7."/>
      <w:lvlJc w:val="left"/>
      <w:pPr>
        <w:ind w:left="4680" w:hanging="360"/>
      </w:pPr>
    </w:lvl>
    <w:lvl w:ilvl="7" w:tplc="5DFAD91A" w:tentative="1">
      <w:start w:val="1"/>
      <w:numFmt w:val="lowerLetter"/>
      <w:lvlText w:val="%8."/>
      <w:lvlJc w:val="left"/>
      <w:pPr>
        <w:ind w:left="5400" w:hanging="360"/>
      </w:pPr>
    </w:lvl>
    <w:lvl w:ilvl="8" w:tplc="700877B4" w:tentative="1">
      <w:start w:val="1"/>
      <w:numFmt w:val="lowerRoman"/>
      <w:lvlText w:val="%9."/>
      <w:lvlJc w:val="right"/>
      <w:pPr>
        <w:ind w:left="6120" w:hanging="180"/>
      </w:pPr>
    </w:lvl>
  </w:abstractNum>
  <w:abstractNum w:abstractNumId="32" w15:restartNumberingAfterBreak="0">
    <w:nsid w:val="6BFC7B04"/>
    <w:multiLevelType w:val="hybridMultilevel"/>
    <w:tmpl w:val="C9F452C8"/>
    <w:lvl w:ilvl="0" w:tplc="9392BB0E">
      <w:start w:val="1"/>
      <w:numFmt w:val="decimal"/>
      <w:lvlText w:val="%1."/>
      <w:lvlJc w:val="left"/>
      <w:pPr>
        <w:ind w:left="930" w:hanging="570"/>
      </w:pPr>
      <w:rPr>
        <w:rFonts w:hint="default"/>
      </w:rPr>
    </w:lvl>
    <w:lvl w:ilvl="1" w:tplc="80E06FEA">
      <w:start w:val="1"/>
      <w:numFmt w:val="lowerLetter"/>
      <w:lvlText w:val="%2."/>
      <w:lvlJc w:val="left"/>
      <w:pPr>
        <w:ind w:left="1440" w:hanging="360"/>
      </w:pPr>
    </w:lvl>
    <w:lvl w:ilvl="2" w:tplc="F8A0BA22" w:tentative="1">
      <w:start w:val="1"/>
      <w:numFmt w:val="lowerRoman"/>
      <w:lvlText w:val="%3."/>
      <w:lvlJc w:val="right"/>
      <w:pPr>
        <w:ind w:left="2160" w:hanging="180"/>
      </w:pPr>
    </w:lvl>
    <w:lvl w:ilvl="3" w:tplc="46CC7384" w:tentative="1">
      <w:start w:val="1"/>
      <w:numFmt w:val="decimal"/>
      <w:lvlText w:val="%4."/>
      <w:lvlJc w:val="left"/>
      <w:pPr>
        <w:ind w:left="2880" w:hanging="360"/>
      </w:pPr>
    </w:lvl>
    <w:lvl w:ilvl="4" w:tplc="FA60C36E" w:tentative="1">
      <w:start w:val="1"/>
      <w:numFmt w:val="lowerLetter"/>
      <w:lvlText w:val="%5."/>
      <w:lvlJc w:val="left"/>
      <w:pPr>
        <w:ind w:left="3600" w:hanging="360"/>
      </w:pPr>
    </w:lvl>
    <w:lvl w:ilvl="5" w:tplc="F8AC9B74" w:tentative="1">
      <w:start w:val="1"/>
      <w:numFmt w:val="lowerRoman"/>
      <w:lvlText w:val="%6."/>
      <w:lvlJc w:val="right"/>
      <w:pPr>
        <w:ind w:left="4320" w:hanging="180"/>
      </w:pPr>
    </w:lvl>
    <w:lvl w:ilvl="6" w:tplc="5B100CCA" w:tentative="1">
      <w:start w:val="1"/>
      <w:numFmt w:val="decimal"/>
      <w:lvlText w:val="%7."/>
      <w:lvlJc w:val="left"/>
      <w:pPr>
        <w:ind w:left="5040" w:hanging="360"/>
      </w:pPr>
    </w:lvl>
    <w:lvl w:ilvl="7" w:tplc="00306B98" w:tentative="1">
      <w:start w:val="1"/>
      <w:numFmt w:val="lowerLetter"/>
      <w:lvlText w:val="%8."/>
      <w:lvlJc w:val="left"/>
      <w:pPr>
        <w:ind w:left="5760" w:hanging="360"/>
      </w:pPr>
    </w:lvl>
    <w:lvl w:ilvl="8" w:tplc="1C74FE0C" w:tentative="1">
      <w:start w:val="1"/>
      <w:numFmt w:val="lowerRoman"/>
      <w:lvlText w:val="%9."/>
      <w:lvlJc w:val="right"/>
      <w:pPr>
        <w:ind w:left="6480" w:hanging="180"/>
      </w:pPr>
    </w:lvl>
  </w:abstractNum>
  <w:abstractNum w:abstractNumId="33" w15:restartNumberingAfterBreak="0">
    <w:nsid w:val="712C6B77"/>
    <w:multiLevelType w:val="hybridMultilevel"/>
    <w:tmpl w:val="808278F0"/>
    <w:lvl w:ilvl="0" w:tplc="D062F788">
      <w:start w:val="1"/>
      <w:numFmt w:val="decimal"/>
      <w:pStyle w:val="Heading3-numbered"/>
      <w:lvlText w:val="%1."/>
      <w:lvlJc w:val="left"/>
      <w:pPr>
        <w:ind w:left="360" w:hanging="360"/>
      </w:pPr>
      <w:rPr>
        <w:b/>
        <w:i w:val="0"/>
        <w:color w:val="auto"/>
        <w:sz w:val="28"/>
        <w:szCs w:val="28"/>
      </w:rPr>
    </w:lvl>
    <w:lvl w:ilvl="1" w:tplc="AC105212" w:tentative="1">
      <w:start w:val="1"/>
      <w:numFmt w:val="lowerLetter"/>
      <w:lvlText w:val="%2."/>
      <w:lvlJc w:val="left"/>
      <w:pPr>
        <w:ind w:left="1080" w:hanging="360"/>
      </w:pPr>
    </w:lvl>
    <w:lvl w:ilvl="2" w:tplc="E04C8200" w:tentative="1">
      <w:start w:val="1"/>
      <w:numFmt w:val="lowerRoman"/>
      <w:lvlText w:val="%3."/>
      <w:lvlJc w:val="right"/>
      <w:pPr>
        <w:ind w:left="1800" w:hanging="180"/>
      </w:pPr>
    </w:lvl>
    <w:lvl w:ilvl="3" w:tplc="B96278C6" w:tentative="1">
      <w:start w:val="1"/>
      <w:numFmt w:val="decimal"/>
      <w:lvlText w:val="%4."/>
      <w:lvlJc w:val="left"/>
      <w:pPr>
        <w:ind w:left="2520" w:hanging="360"/>
      </w:pPr>
    </w:lvl>
    <w:lvl w:ilvl="4" w:tplc="E63C4F5E" w:tentative="1">
      <w:start w:val="1"/>
      <w:numFmt w:val="lowerLetter"/>
      <w:lvlText w:val="%5."/>
      <w:lvlJc w:val="left"/>
      <w:pPr>
        <w:ind w:left="3240" w:hanging="360"/>
      </w:pPr>
    </w:lvl>
    <w:lvl w:ilvl="5" w:tplc="43EE7A52" w:tentative="1">
      <w:start w:val="1"/>
      <w:numFmt w:val="lowerRoman"/>
      <w:lvlText w:val="%6."/>
      <w:lvlJc w:val="right"/>
      <w:pPr>
        <w:ind w:left="3960" w:hanging="180"/>
      </w:pPr>
    </w:lvl>
    <w:lvl w:ilvl="6" w:tplc="15E0BB36" w:tentative="1">
      <w:start w:val="1"/>
      <w:numFmt w:val="decimal"/>
      <w:lvlText w:val="%7."/>
      <w:lvlJc w:val="left"/>
      <w:pPr>
        <w:ind w:left="4680" w:hanging="360"/>
      </w:pPr>
    </w:lvl>
    <w:lvl w:ilvl="7" w:tplc="81065256" w:tentative="1">
      <w:start w:val="1"/>
      <w:numFmt w:val="lowerLetter"/>
      <w:lvlText w:val="%8."/>
      <w:lvlJc w:val="left"/>
      <w:pPr>
        <w:ind w:left="5400" w:hanging="360"/>
      </w:pPr>
    </w:lvl>
    <w:lvl w:ilvl="8" w:tplc="1B88A7F6" w:tentative="1">
      <w:start w:val="1"/>
      <w:numFmt w:val="lowerRoman"/>
      <w:lvlText w:val="%9."/>
      <w:lvlJc w:val="right"/>
      <w:pPr>
        <w:ind w:left="6120" w:hanging="180"/>
      </w:pPr>
    </w:lvl>
  </w:abstractNum>
  <w:abstractNum w:abstractNumId="34" w15:restartNumberingAfterBreak="0">
    <w:nsid w:val="71EB0E97"/>
    <w:multiLevelType w:val="hybridMultilevel"/>
    <w:tmpl w:val="C48E19DA"/>
    <w:lvl w:ilvl="0" w:tplc="BB009892">
      <w:start w:val="1"/>
      <w:numFmt w:val="bullet"/>
      <w:lvlText w:val=""/>
      <w:lvlJc w:val="left"/>
      <w:pPr>
        <w:ind w:left="720" w:hanging="360"/>
      </w:pPr>
      <w:rPr>
        <w:rFonts w:ascii="Symbol" w:hAnsi="Symbol" w:hint="default"/>
      </w:rPr>
    </w:lvl>
    <w:lvl w:ilvl="1" w:tplc="97E23D1E" w:tentative="1">
      <w:start w:val="1"/>
      <w:numFmt w:val="bullet"/>
      <w:lvlText w:val="o"/>
      <w:lvlJc w:val="left"/>
      <w:pPr>
        <w:ind w:left="1440" w:hanging="360"/>
      </w:pPr>
      <w:rPr>
        <w:rFonts w:ascii="Courier New" w:hAnsi="Courier New" w:cs="Courier New" w:hint="default"/>
      </w:rPr>
    </w:lvl>
    <w:lvl w:ilvl="2" w:tplc="2A28A0B2" w:tentative="1">
      <w:start w:val="1"/>
      <w:numFmt w:val="bullet"/>
      <w:lvlText w:val=""/>
      <w:lvlJc w:val="left"/>
      <w:pPr>
        <w:ind w:left="2160" w:hanging="360"/>
      </w:pPr>
      <w:rPr>
        <w:rFonts w:ascii="Wingdings" w:hAnsi="Wingdings" w:hint="default"/>
      </w:rPr>
    </w:lvl>
    <w:lvl w:ilvl="3" w:tplc="65AACAAA" w:tentative="1">
      <w:start w:val="1"/>
      <w:numFmt w:val="bullet"/>
      <w:lvlText w:val=""/>
      <w:lvlJc w:val="left"/>
      <w:pPr>
        <w:ind w:left="2880" w:hanging="360"/>
      </w:pPr>
      <w:rPr>
        <w:rFonts w:ascii="Symbol" w:hAnsi="Symbol" w:hint="default"/>
      </w:rPr>
    </w:lvl>
    <w:lvl w:ilvl="4" w:tplc="70723B3A" w:tentative="1">
      <w:start w:val="1"/>
      <w:numFmt w:val="bullet"/>
      <w:lvlText w:val="o"/>
      <w:lvlJc w:val="left"/>
      <w:pPr>
        <w:ind w:left="3600" w:hanging="360"/>
      </w:pPr>
      <w:rPr>
        <w:rFonts w:ascii="Courier New" w:hAnsi="Courier New" w:cs="Courier New" w:hint="default"/>
      </w:rPr>
    </w:lvl>
    <w:lvl w:ilvl="5" w:tplc="8A487E38" w:tentative="1">
      <w:start w:val="1"/>
      <w:numFmt w:val="bullet"/>
      <w:lvlText w:val=""/>
      <w:lvlJc w:val="left"/>
      <w:pPr>
        <w:ind w:left="4320" w:hanging="360"/>
      </w:pPr>
      <w:rPr>
        <w:rFonts w:ascii="Wingdings" w:hAnsi="Wingdings" w:hint="default"/>
      </w:rPr>
    </w:lvl>
    <w:lvl w:ilvl="6" w:tplc="AF7CB5E6" w:tentative="1">
      <w:start w:val="1"/>
      <w:numFmt w:val="bullet"/>
      <w:lvlText w:val=""/>
      <w:lvlJc w:val="left"/>
      <w:pPr>
        <w:ind w:left="5040" w:hanging="360"/>
      </w:pPr>
      <w:rPr>
        <w:rFonts w:ascii="Symbol" w:hAnsi="Symbol" w:hint="default"/>
      </w:rPr>
    </w:lvl>
    <w:lvl w:ilvl="7" w:tplc="D7B02D5E" w:tentative="1">
      <w:start w:val="1"/>
      <w:numFmt w:val="bullet"/>
      <w:lvlText w:val="o"/>
      <w:lvlJc w:val="left"/>
      <w:pPr>
        <w:ind w:left="5760" w:hanging="360"/>
      </w:pPr>
      <w:rPr>
        <w:rFonts w:ascii="Courier New" w:hAnsi="Courier New" w:cs="Courier New" w:hint="default"/>
      </w:rPr>
    </w:lvl>
    <w:lvl w:ilvl="8" w:tplc="EB0EFEFE" w:tentative="1">
      <w:start w:val="1"/>
      <w:numFmt w:val="bullet"/>
      <w:lvlText w:val=""/>
      <w:lvlJc w:val="left"/>
      <w:pPr>
        <w:ind w:left="6480" w:hanging="360"/>
      </w:pPr>
      <w:rPr>
        <w:rFonts w:ascii="Wingdings" w:hAnsi="Wingdings" w:hint="default"/>
      </w:rPr>
    </w:lvl>
  </w:abstractNum>
  <w:abstractNum w:abstractNumId="35" w15:restartNumberingAfterBreak="0">
    <w:nsid w:val="7C510646"/>
    <w:multiLevelType w:val="hybridMultilevel"/>
    <w:tmpl w:val="7332CA94"/>
    <w:lvl w:ilvl="0" w:tplc="1FE4C14E">
      <w:start w:val="1"/>
      <w:numFmt w:val="bullet"/>
      <w:lvlText w:val=""/>
      <w:lvlJc w:val="left"/>
      <w:pPr>
        <w:ind w:left="720" w:hanging="360"/>
      </w:pPr>
      <w:rPr>
        <w:rFonts w:ascii="Symbol" w:hAnsi="Symbol" w:hint="default"/>
        <w:color w:val="auto"/>
      </w:rPr>
    </w:lvl>
    <w:lvl w:ilvl="1" w:tplc="73343008">
      <w:start w:val="1"/>
      <w:numFmt w:val="bullet"/>
      <w:lvlText w:val="o"/>
      <w:lvlJc w:val="left"/>
      <w:pPr>
        <w:ind w:left="1440" w:hanging="360"/>
      </w:pPr>
      <w:rPr>
        <w:rFonts w:ascii="Courier New" w:hAnsi="Courier New" w:cs="Courier New" w:hint="default"/>
      </w:rPr>
    </w:lvl>
    <w:lvl w:ilvl="2" w:tplc="1706BB68" w:tentative="1">
      <w:start w:val="1"/>
      <w:numFmt w:val="bullet"/>
      <w:lvlText w:val=""/>
      <w:lvlJc w:val="left"/>
      <w:pPr>
        <w:ind w:left="2160" w:hanging="360"/>
      </w:pPr>
      <w:rPr>
        <w:rFonts w:ascii="Wingdings" w:hAnsi="Wingdings" w:hint="default"/>
      </w:rPr>
    </w:lvl>
    <w:lvl w:ilvl="3" w:tplc="2E4C8FF2" w:tentative="1">
      <w:start w:val="1"/>
      <w:numFmt w:val="bullet"/>
      <w:lvlText w:val=""/>
      <w:lvlJc w:val="left"/>
      <w:pPr>
        <w:ind w:left="2880" w:hanging="360"/>
      </w:pPr>
      <w:rPr>
        <w:rFonts w:ascii="Symbol" w:hAnsi="Symbol" w:hint="default"/>
      </w:rPr>
    </w:lvl>
    <w:lvl w:ilvl="4" w:tplc="C64E5870" w:tentative="1">
      <w:start w:val="1"/>
      <w:numFmt w:val="bullet"/>
      <w:lvlText w:val="o"/>
      <w:lvlJc w:val="left"/>
      <w:pPr>
        <w:ind w:left="3600" w:hanging="360"/>
      </w:pPr>
      <w:rPr>
        <w:rFonts w:ascii="Courier New" w:hAnsi="Courier New" w:cs="Courier New" w:hint="default"/>
      </w:rPr>
    </w:lvl>
    <w:lvl w:ilvl="5" w:tplc="4C8C2E24" w:tentative="1">
      <w:start w:val="1"/>
      <w:numFmt w:val="bullet"/>
      <w:lvlText w:val=""/>
      <w:lvlJc w:val="left"/>
      <w:pPr>
        <w:ind w:left="4320" w:hanging="360"/>
      </w:pPr>
      <w:rPr>
        <w:rFonts w:ascii="Wingdings" w:hAnsi="Wingdings" w:hint="default"/>
      </w:rPr>
    </w:lvl>
    <w:lvl w:ilvl="6" w:tplc="8EA27892" w:tentative="1">
      <w:start w:val="1"/>
      <w:numFmt w:val="bullet"/>
      <w:lvlText w:val=""/>
      <w:lvlJc w:val="left"/>
      <w:pPr>
        <w:ind w:left="5040" w:hanging="360"/>
      </w:pPr>
      <w:rPr>
        <w:rFonts w:ascii="Symbol" w:hAnsi="Symbol" w:hint="default"/>
      </w:rPr>
    </w:lvl>
    <w:lvl w:ilvl="7" w:tplc="FD984C1C" w:tentative="1">
      <w:start w:val="1"/>
      <w:numFmt w:val="bullet"/>
      <w:lvlText w:val="o"/>
      <w:lvlJc w:val="left"/>
      <w:pPr>
        <w:ind w:left="5760" w:hanging="360"/>
      </w:pPr>
      <w:rPr>
        <w:rFonts w:ascii="Courier New" w:hAnsi="Courier New" w:cs="Courier New" w:hint="default"/>
      </w:rPr>
    </w:lvl>
    <w:lvl w:ilvl="8" w:tplc="51385ED6" w:tentative="1">
      <w:start w:val="1"/>
      <w:numFmt w:val="bullet"/>
      <w:lvlText w:val=""/>
      <w:lvlJc w:val="left"/>
      <w:pPr>
        <w:ind w:left="6480" w:hanging="360"/>
      </w:pPr>
      <w:rPr>
        <w:rFonts w:ascii="Wingdings" w:hAnsi="Wingdings" w:hint="default"/>
      </w:rPr>
    </w:lvl>
  </w:abstractNum>
  <w:abstractNum w:abstractNumId="36" w15:restartNumberingAfterBreak="0">
    <w:nsid w:val="7E457FED"/>
    <w:multiLevelType w:val="hybridMultilevel"/>
    <w:tmpl w:val="52EC890C"/>
    <w:lvl w:ilvl="0" w:tplc="A3A43610">
      <w:start w:val="1"/>
      <w:numFmt w:val="bullet"/>
      <w:lvlText w:val=""/>
      <w:lvlJc w:val="left"/>
      <w:pPr>
        <w:ind w:left="720" w:hanging="360"/>
      </w:pPr>
      <w:rPr>
        <w:rFonts w:ascii="Symbol" w:hAnsi="Symbol" w:hint="default"/>
      </w:rPr>
    </w:lvl>
    <w:lvl w:ilvl="1" w:tplc="8E1C40D8" w:tentative="1">
      <w:start w:val="1"/>
      <w:numFmt w:val="bullet"/>
      <w:lvlText w:val="o"/>
      <w:lvlJc w:val="left"/>
      <w:pPr>
        <w:ind w:left="1440" w:hanging="360"/>
      </w:pPr>
      <w:rPr>
        <w:rFonts w:ascii="Courier New" w:hAnsi="Courier New" w:cs="Courier New" w:hint="default"/>
      </w:rPr>
    </w:lvl>
    <w:lvl w:ilvl="2" w:tplc="262EF7D6" w:tentative="1">
      <w:start w:val="1"/>
      <w:numFmt w:val="bullet"/>
      <w:lvlText w:val=""/>
      <w:lvlJc w:val="left"/>
      <w:pPr>
        <w:ind w:left="2160" w:hanging="360"/>
      </w:pPr>
      <w:rPr>
        <w:rFonts w:ascii="Wingdings" w:hAnsi="Wingdings" w:hint="default"/>
      </w:rPr>
    </w:lvl>
    <w:lvl w:ilvl="3" w:tplc="64DE03F8" w:tentative="1">
      <w:start w:val="1"/>
      <w:numFmt w:val="bullet"/>
      <w:lvlText w:val=""/>
      <w:lvlJc w:val="left"/>
      <w:pPr>
        <w:ind w:left="2880" w:hanging="360"/>
      </w:pPr>
      <w:rPr>
        <w:rFonts w:ascii="Symbol" w:hAnsi="Symbol" w:hint="default"/>
      </w:rPr>
    </w:lvl>
    <w:lvl w:ilvl="4" w:tplc="B89AA17E" w:tentative="1">
      <w:start w:val="1"/>
      <w:numFmt w:val="bullet"/>
      <w:lvlText w:val="o"/>
      <w:lvlJc w:val="left"/>
      <w:pPr>
        <w:ind w:left="3600" w:hanging="360"/>
      </w:pPr>
      <w:rPr>
        <w:rFonts w:ascii="Courier New" w:hAnsi="Courier New" w:cs="Courier New" w:hint="default"/>
      </w:rPr>
    </w:lvl>
    <w:lvl w:ilvl="5" w:tplc="FB84C51C" w:tentative="1">
      <w:start w:val="1"/>
      <w:numFmt w:val="bullet"/>
      <w:lvlText w:val=""/>
      <w:lvlJc w:val="left"/>
      <w:pPr>
        <w:ind w:left="4320" w:hanging="360"/>
      </w:pPr>
      <w:rPr>
        <w:rFonts w:ascii="Wingdings" w:hAnsi="Wingdings" w:hint="default"/>
      </w:rPr>
    </w:lvl>
    <w:lvl w:ilvl="6" w:tplc="4B0A0FC2" w:tentative="1">
      <w:start w:val="1"/>
      <w:numFmt w:val="bullet"/>
      <w:lvlText w:val=""/>
      <w:lvlJc w:val="left"/>
      <w:pPr>
        <w:ind w:left="5040" w:hanging="360"/>
      </w:pPr>
      <w:rPr>
        <w:rFonts w:ascii="Symbol" w:hAnsi="Symbol" w:hint="default"/>
      </w:rPr>
    </w:lvl>
    <w:lvl w:ilvl="7" w:tplc="CDD4C93A" w:tentative="1">
      <w:start w:val="1"/>
      <w:numFmt w:val="bullet"/>
      <w:lvlText w:val="o"/>
      <w:lvlJc w:val="left"/>
      <w:pPr>
        <w:ind w:left="5760" w:hanging="360"/>
      </w:pPr>
      <w:rPr>
        <w:rFonts w:ascii="Courier New" w:hAnsi="Courier New" w:cs="Courier New" w:hint="default"/>
      </w:rPr>
    </w:lvl>
    <w:lvl w:ilvl="8" w:tplc="3AAAF9CA"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33"/>
  </w:num>
  <w:num w:numId="4">
    <w:abstractNumId w:val="31"/>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2"/>
  </w:num>
  <w:num w:numId="26">
    <w:abstractNumId w:val="35"/>
  </w:num>
  <w:num w:numId="27">
    <w:abstractNumId w:val="30"/>
  </w:num>
  <w:num w:numId="28">
    <w:abstractNumId w:val="24"/>
  </w:num>
  <w:num w:numId="29">
    <w:abstractNumId w:val="34"/>
  </w:num>
  <w:num w:numId="30">
    <w:abstractNumId w:val="23"/>
  </w:num>
  <w:num w:numId="31">
    <w:abstractNumId w:val="36"/>
  </w:num>
  <w:num w:numId="32">
    <w:abstractNumId w:val="21"/>
  </w:num>
  <w:num w:numId="33">
    <w:abstractNumId w:val="29"/>
  </w:num>
  <w:num w:numId="34">
    <w:abstractNumId w:val="22"/>
  </w:num>
  <w:num w:numId="35">
    <w:abstractNumId w:val="26"/>
  </w:num>
  <w:num w:numId="36">
    <w:abstractNumId w:val="2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revisionView w:markup="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16"/>
    <w:rsid w:val="007D6BEE"/>
    <w:rsid w:val="008F3A1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99A9C84-F3F0-4F4B-A099-40230798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064B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1"/>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paragraph" w:customStyle="1" w:styleId="footnotedescription">
    <w:name w:val="footnote description"/>
    <w:next w:val="Normal"/>
    <w:link w:val="footnotedescriptionChar"/>
    <w:hidden/>
    <w:rsid w:val="003D58F1"/>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3D58F1"/>
    <w:rPr>
      <w:rFonts w:ascii="Calibri" w:eastAsia="Calibri" w:hAnsi="Calibri" w:cs="Calibri"/>
      <w:color w:val="000000"/>
      <w:sz w:val="14"/>
      <w:szCs w:val="22"/>
    </w:rPr>
  </w:style>
  <w:style w:type="character" w:customStyle="1" w:styleId="footnotemark">
    <w:name w:val="footnote mark"/>
    <w:hidden/>
    <w:rsid w:val="003D58F1"/>
    <w:rPr>
      <w:rFonts w:ascii="Calibri" w:eastAsia="Calibri" w:hAnsi="Calibri" w:cs="Calibri"/>
      <w:color w:val="000000"/>
      <w:sz w:val="14"/>
      <w:vertAlign w:val="superscript"/>
    </w:rPr>
  </w:style>
  <w:style w:type="table" w:customStyle="1" w:styleId="TableGrid8">
    <w:name w:val="Table Grid8"/>
    <w:basedOn w:val="TableNormal"/>
    <w:next w:val="TableGrid"/>
    <w:uiPriority w:val="39"/>
    <w:rsid w:val="006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1D5EDA"/>
    <w:pPr>
      <w:spacing w:line="241" w:lineRule="atLeast"/>
    </w:pPr>
    <w:rPr>
      <w:rFonts w:ascii="Arial Narrow" w:hAnsi="Arial Narrow" w:cstheme="minorBidi"/>
      <w:color w:val="auto"/>
    </w:rPr>
  </w:style>
  <w:style w:type="paragraph" w:customStyle="1" w:styleId="ParaAttribute2">
    <w:name w:val="ParaAttribute2"/>
    <w:rsid w:val="00882976"/>
    <w:pPr>
      <w:wordWrap w:val="0"/>
      <w:spacing w:after="160"/>
    </w:pPr>
    <w:rPr>
      <w:rFonts w:ascii="Times New Roman" w:eastAsia="Batang" w:hAnsi="Times New Roman"/>
    </w:rPr>
  </w:style>
  <w:style w:type="paragraph" w:customStyle="1" w:styleId="ParaAttribute3">
    <w:name w:val="ParaAttribute3"/>
    <w:rsid w:val="00882976"/>
    <w:pPr>
      <w:wordWrap w:val="0"/>
      <w:spacing w:after="160"/>
    </w:pPr>
    <w:rPr>
      <w:rFonts w:ascii="Times New Roman" w:eastAsia="Batang" w:hAnsi="Times New Roman"/>
    </w:rPr>
  </w:style>
  <w:style w:type="paragraph" w:customStyle="1" w:styleId="ParaAttribute7">
    <w:name w:val="ParaAttribute7"/>
    <w:rsid w:val="00882976"/>
    <w:pPr>
      <w:wordWrap w:val="0"/>
      <w:jc w:val="both"/>
    </w:pPr>
    <w:rPr>
      <w:rFonts w:ascii="Times New Roman" w:eastAsia="Batang" w:hAnsi="Times New Roman"/>
    </w:rPr>
  </w:style>
  <w:style w:type="paragraph" w:customStyle="1" w:styleId="ParaAttribute9">
    <w:name w:val="ParaAttribute9"/>
    <w:rsid w:val="00882976"/>
    <w:pPr>
      <w:wordWrap w:val="0"/>
      <w:spacing w:after="200"/>
      <w:jc w:val="both"/>
    </w:pPr>
    <w:rPr>
      <w:rFonts w:ascii="Times New Roman" w:eastAsia="Batang" w:hAnsi="Times New Roman"/>
    </w:rPr>
  </w:style>
  <w:style w:type="character" w:customStyle="1" w:styleId="CharAttribute1">
    <w:name w:val="CharAttribute1"/>
    <w:rsid w:val="00882976"/>
    <w:rPr>
      <w:rFonts w:ascii="Calibri" w:eastAsia="Calibri"/>
      <w:b/>
      <w:sz w:val="24"/>
      <w:u w:val="single"/>
    </w:rPr>
  </w:style>
  <w:style w:type="character" w:customStyle="1" w:styleId="CharAttribute9">
    <w:name w:val="CharAttribute9"/>
    <w:rsid w:val="00882976"/>
    <w:rPr>
      <w:rFonts w:ascii="Calibri" w:eastAsia="Calibri"/>
      <w:i/>
      <w:sz w:val="22"/>
    </w:rPr>
  </w:style>
  <w:style w:type="character" w:customStyle="1" w:styleId="CharAttribute14">
    <w:name w:val="CharAttribute14"/>
    <w:rsid w:val="00882976"/>
    <w:rPr>
      <w:rFonts w:ascii="Arial" w:eastAsia="Arial"/>
      <w:sz w:val="24"/>
    </w:rPr>
  </w:style>
  <w:style w:type="character" w:customStyle="1" w:styleId="CharAttribute16">
    <w:name w:val="CharAttribute16"/>
    <w:rsid w:val="00882976"/>
    <w:rPr>
      <w:rFonts w:ascii="Arial" w:eastAsia="Arial"/>
      <w:i/>
      <w:sz w:val="24"/>
    </w:rPr>
  </w:style>
  <w:style w:type="table" w:customStyle="1" w:styleId="TableGrid9">
    <w:name w:val="Table Grid9"/>
    <w:basedOn w:val="TableNormal"/>
    <w:next w:val="TableGrid"/>
    <w:uiPriority w:val="39"/>
    <w:rsid w:val="0008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5C0BF-C2F9-45C9-97E6-936E55FE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52</TotalTime>
  <Pages>11</Pages>
  <Words>2749</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tboswell001</dc:creator>
  <cp:lastModifiedBy>Evenson, Maya</cp:lastModifiedBy>
  <cp:revision>8</cp:revision>
  <cp:lastPrinted>2017-08-24T11:08:00Z</cp:lastPrinted>
  <dcterms:created xsi:type="dcterms:W3CDTF">2017-08-30T12:56:00Z</dcterms:created>
  <dcterms:modified xsi:type="dcterms:W3CDTF">2017-09-01T11:11:00Z</dcterms:modified>
</cp:coreProperties>
</file>